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ArialUnicodeMS"/>
          <w:kern w:val="0"/>
          <w:sz w:val="32"/>
          <w:szCs w:val="32"/>
        </w:rPr>
      </w:pPr>
    </w:p>
    <w:p>
      <w:pPr>
        <w:jc w:val="left"/>
        <w:rPr>
          <w:rFonts w:ascii="黑体" w:eastAsia="黑体" w:cs="ArialUnicodeMS"/>
          <w:kern w:val="0"/>
          <w:sz w:val="72"/>
          <w:szCs w:val="72"/>
        </w:rPr>
      </w:pPr>
      <w:bookmarkStart w:id="6" w:name="_GoBack"/>
    </w:p>
    <w:bookmarkEnd w:id="6"/>
    <w:p>
      <w:pPr>
        <w:jc w:val="left"/>
        <w:rPr>
          <w:rFonts w:ascii="黑体" w:eastAsia="黑体" w:cs="ArialUnicodeMS"/>
          <w:kern w:val="0"/>
          <w:sz w:val="72"/>
          <w:szCs w:val="72"/>
        </w:rPr>
      </w:pPr>
    </w:p>
    <w:p>
      <w:pPr>
        <w:jc w:val="center"/>
        <w:rPr>
          <w:rFonts w:hint="eastAsia" w:ascii="黑体" w:hAnsi="黑体" w:eastAsia="黑体" w:cs="黑体"/>
          <w:bCs/>
          <w:color w:val="000000"/>
          <w:sz w:val="52"/>
          <w:szCs w:val="52"/>
          <w:u w:val="none"/>
        </w:rPr>
      </w:pPr>
      <w:r>
        <w:rPr>
          <w:rFonts w:hint="eastAsia" w:ascii="黑体" w:hAnsi="黑体" w:eastAsia="黑体" w:cs="黑体"/>
          <w:bCs/>
          <w:color w:val="000000"/>
          <w:sz w:val="52"/>
          <w:szCs w:val="52"/>
          <w:u w:val="none"/>
        </w:rPr>
        <w:t>南宁市第一人民医院</w:t>
      </w:r>
    </w:p>
    <w:p>
      <w:pPr>
        <w:jc w:val="center"/>
        <w:rPr>
          <w:rFonts w:hint="eastAsia" w:ascii="黑体" w:hAnsi="黑体" w:eastAsia="黑体" w:cs="黑体"/>
          <w:kern w:val="0"/>
          <w:sz w:val="52"/>
          <w:szCs w:val="52"/>
        </w:rPr>
      </w:pPr>
      <w:r>
        <w:rPr>
          <w:rFonts w:hint="eastAsia" w:ascii="黑体" w:hAnsi="黑体" w:eastAsia="黑体" w:cs="黑体"/>
          <w:kern w:val="0"/>
          <w:sz w:val="52"/>
          <w:szCs w:val="52"/>
        </w:rPr>
        <w:t>2022年度部门决算</w:t>
      </w:r>
    </w:p>
    <w:p>
      <w:pPr>
        <w:jc w:val="left"/>
        <w:rPr>
          <w:rFonts w:ascii="方正小标宋简体" w:eastAsia="方正小标宋简体" w:cs="ArialUnicodeMS"/>
          <w:kern w:val="0"/>
          <w:sz w:val="84"/>
          <w:szCs w:val="84"/>
        </w:rPr>
      </w:pPr>
    </w:p>
    <w:p>
      <w:pPr>
        <w:jc w:val="left"/>
        <w:rPr>
          <w:rFonts w:ascii="ArialUnicodeMS" w:eastAsia="ArialUnicodeMS" w:cs="ArialUnicodeMS"/>
          <w:kern w:val="0"/>
          <w:sz w:val="84"/>
          <w:szCs w:val="84"/>
        </w:rPr>
      </w:pPr>
    </w:p>
    <w:p>
      <w:pPr>
        <w:jc w:val="left"/>
        <w:rPr>
          <w:rFonts w:ascii="ArialUnicodeMS" w:eastAsia="ArialUnicodeMS" w:cs="ArialUnicodeMS"/>
          <w:kern w:val="0"/>
          <w:sz w:val="84"/>
          <w:szCs w:val="84"/>
        </w:rPr>
      </w:pPr>
    </w:p>
    <w:p>
      <w:pPr>
        <w:jc w:val="left"/>
        <w:rPr>
          <w:rFonts w:ascii="ArialUnicodeMS" w:eastAsia="ArialUnicodeMS" w:cs="ArialUnicodeMS"/>
          <w:kern w:val="0"/>
          <w:sz w:val="84"/>
          <w:szCs w:val="84"/>
        </w:rPr>
      </w:pPr>
    </w:p>
    <w:p>
      <w:pPr>
        <w:jc w:val="left"/>
        <w:rPr>
          <w:rFonts w:ascii="ArialUnicodeMS" w:eastAsia="ArialUnicodeMS" w:cs="ArialUnicodeMS"/>
          <w:kern w:val="0"/>
          <w:sz w:val="84"/>
          <w:szCs w:val="84"/>
        </w:rPr>
      </w:pPr>
    </w:p>
    <w:p>
      <w:pPr>
        <w:jc w:val="left"/>
        <w:rPr>
          <w:rFonts w:ascii="黑体" w:eastAsia="黑体" w:cs="黑体"/>
          <w:kern w:val="0"/>
          <w:sz w:val="44"/>
          <w:szCs w:val="44"/>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rPr>
          <w:rFonts w:ascii="Arial" w:hAnsi="Arial" w:eastAsia="微软雅黑" w:cs="Arial"/>
          <w:color w:val="000000"/>
          <w:shd w:val="clear" w:color="auto" w:fill="FFFFFF"/>
        </w:rPr>
      </w:pPr>
      <w:r>
        <w:rPr>
          <w:rFonts w:ascii="Arial" w:hAnsi="Arial" w:eastAsia="微软雅黑" w:cs="Arial"/>
          <w:color w:val="000000"/>
          <w:shd w:val="clear" w:color="auto" w:fill="FFFFFF"/>
        </w:rPr>
        <w:br w:type="page"/>
      </w:r>
    </w:p>
    <w:p>
      <w:pPr>
        <w:ind w:left="0" w:leftChars="0" w:firstLine="0" w:firstLineChars="0"/>
        <w:jc w:val="center"/>
        <w:rPr>
          <w:rFonts w:hint="eastAsia" w:ascii="黑体" w:hAnsi="黑体" w:eastAsia="黑体" w:cs="黑体"/>
          <w:b/>
          <w:sz w:val="44"/>
          <w:szCs w:val="44"/>
        </w:rPr>
      </w:pPr>
      <w:r>
        <w:rPr>
          <w:rFonts w:hint="eastAsia" w:ascii="黑体" w:hAnsi="黑体" w:eastAsia="黑体" w:cs="黑体"/>
          <w:b/>
          <w:sz w:val="44"/>
          <w:szCs w:val="44"/>
        </w:rPr>
        <w:t>目    录</w:t>
      </w:r>
    </w:p>
    <w:p>
      <w:pPr>
        <w:ind w:firstLine="645"/>
        <w:jc w:val="left"/>
        <w:rPr>
          <w:rFonts w:ascii="仿宋_GB2312" w:eastAsia="仿宋_GB2312"/>
          <w:b/>
          <w:sz w:val="32"/>
          <w:szCs w:val="32"/>
        </w:rPr>
      </w:pPr>
    </w:p>
    <w:p>
      <w:pPr>
        <w:ind w:firstLine="645"/>
        <w:jc w:val="left"/>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南宁市第一人民医院</w:t>
      </w:r>
      <w:r>
        <w:rPr>
          <w:rFonts w:hint="eastAsia" w:ascii="黑体" w:hAnsi="黑体" w:eastAsia="黑体"/>
          <w:sz w:val="32"/>
          <w:szCs w:val="32"/>
        </w:rPr>
        <w:t>概况</w:t>
      </w:r>
    </w:p>
    <w:p>
      <w:pPr>
        <w:numPr>
          <w:ilvl w:val="0"/>
          <w:numId w:val="2"/>
        </w:numPr>
        <w:ind w:firstLine="645"/>
        <w:jc w:val="left"/>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部门职责</w:t>
      </w:r>
    </w:p>
    <w:p>
      <w:pPr>
        <w:numPr>
          <w:ilvl w:val="0"/>
          <w:numId w:val="0"/>
        </w:numPr>
        <w:ind w:firstLine="640" w:firstLineChars="200"/>
        <w:jc w:val="left"/>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二、</w:t>
      </w:r>
      <w:r>
        <w:rPr>
          <w:rFonts w:hint="eastAsia" w:ascii="仿宋_GB2312" w:hAnsi="Times New Roman" w:eastAsia="仿宋_GB2312" w:cs="Times New Roman"/>
          <w:color w:val="000000"/>
          <w:sz w:val="32"/>
          <w:szCs w:val="32"/>
          <w:lang w:val="en-US" w:eastAsia="zh-CN"/>
        </w:rPr>
        <w:t>机构设置</w:t>
      </w:r>
    </w:p>
    <w:p>
      <w:pPr>
        <w:ind w:firstLine="645"/>
        <w:jc w:val="left"/>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南宁市第一人民医院</w:t>
      </w:r>
      <w:r>
        <w:rPr>
          <w:rFonts w:hint="eastAsia" w:ascii="黑体" w:hAnsi="黑体" w:eastAsia="黑体"/>
          <w:sz w:val="32"/>
          <w:szCs w:val="32"/>
        </w:rPr>
        <w:t>2022年度部门决算报表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表一：收入支出决算总表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表二：收入决算表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表三：支出决算表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表四：财政拨款收入支出决算总表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表五：一般公共预算财政拨款支出决算表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表六：一般公共预算财政拨款基本支出决算明细表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表七：政府性基金预算财政拨款收入支出决算表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表八：国有资本经营预算财政拨款支出决算表</w:t>
      </w:r>
    </w:p>
    <w:p>
      <w:pPr>
        <w:ind w:left="645"/>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表九：财政拨款“三公”经费支出决算表</w:t>
      </w:r>
    </w:p>
    <w:p>
      <w:pPr>
        <w:ind w:firstLine="645"/>
        <w:jc w:val="left"/>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南宁市第一人民医院</w:t>
      </w:r>
      <w:r>
        <w:rPr>
          <w:rFonts w:hint="eastAsia" w:ascii="黑体" w:hAnsi="黑体" w:eastAsia="黑体"/>
          <w:sz w:val="32"/>
          <w:szCs w:val="32"/>
        </w:rPr>
        <w:t>2022年度部门决算情况说明</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一、</w:t>
      </w:r>
      <w:r>
        <w:rPr>
          <w:rFonts w:hint="eastAsia" w:ascii="仿宋_GB2312" w:hAnsi="Times New Roman" w:eastAsia="仿宋_GB2312" w:cs="仿宋_GB2312"/>
          <w:color w:val="000000"/>
          <w:kern w:val="0"/>
          <w:sz w:val="32"/>
          <w:szCs w:val="32"/>
          <w:lang w:eastAsia="zh-CN"/>
        </w:rPr>
        <w:t>2022年</w:t>
      </w:r>
      <w:r>
        <w:rPr>
          <w:rFonts w:hint="eastAsia" w:ascii="仿宋_GB2312" w:hAnsi="Times New Roman" w:eastAsia="仿宋_GB2312" w:cs="仿宋_GB2312"/>
          <w:color w:val="000000"/>
          <w:kern w:val="0"/>
          <w:sz w:val="32"/>
          <w:szCs w:val="32"/>
        </w:rPr>
        <w:t>度收入支出决算总体情况。</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二、</w:t>
      </w:r>
      <w:r>
        <w:rPr>
          <w:rFonts w:hint="eastAsia" w:ascii="仿宋_GB2312" w:hAnsi="Times New Roman" w:eastAsia="仿宋_GB2312" w:cs="仿宋_GB2312"/>
          <w:color w:val="000000"/>
          <w:kern w:val="0"/>
          <w:sz w:val="32"/>
          <w:szCs w:val="32"/>
          <w:lang w:eastAsia="zh-CN"/>
        </w:rPr>
        <w:t>2022年</w:t>
      </w:r>
      <w:r>
        <w:rPr>
          <w:rFonts w:hint="eastAsia" w:ascii="仿宋_GB2312" w:hAnsi="Times New Roman" w:eastAsia="仿宋_GB2312" w:cs="仿宋_GB2312"/>
          <w:color w:val="000000"/>
          <w:kern w:val="0"/>
          <w:sz w:val="32"/>
          <w:szCs w:val="32"/>
        </w:rPr>
        <w:t>度一般公共预算财政拨款支出决算情况。</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三、</w:t>
      </w:r>
      <w:r>
        <w:rPr>
          <w:rFonts w:hint="eastAsia" w:ascii="仿宋_GB2312" w:hAnsi="Times New Roman" w:eastAsia="仿宋_GB2312" w:cs="仿宋_GB2312"/>
          <w:color w:val="000000"/>
          <w:kern w:val="0"/>
          <w:sz w:val="32"/>
          <w:szCs w:val="32"/>
          <w:lang w:eastAsia="zh-CN"/>
        </w:rPr>
        <w:t>2022年</w:t>
      </w:r>
      <w:r>
        <w:rPr>
          <w:rFonts w:hint="eastAsia" w:ascii="仿宋_GB2312" w:hAnsi="Times New Roman" w:eastAsia="仿宋_GB2312" w:cs="仿宋_GB2312"/>
          <w:color w:val="000000"/>
          <w:kern w:val="0"/>
          <w:sz w:val="32"/>
          <w:szCs w:val="32"/>
        </w:rPr>
        <w:t>度一般公共预算财政拨款基本支出决算情况说明。</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四、</w:t>
      </w:r>
      <w:r>
        <w:rPr>
          <w:rFonts w:hint="eastAsia" w:ascii="仿宋_GB2312" w:hAnsi="Times New Roman" w:eastAsia="仿宋_GB2312" w:cs="仿宋_GB2312"/>
          <w:color w:val="000000"/>
          <w:kern w:val="0"/>
          <w:sz w:val="32"/>
          <w:szCs w:val="32"/>
          <w:lang w:eastAsia="zh-CN"/>
        </w:rPr>
        <w:t>2022年</w:t>
      </w:r>
      <w:r>
        <w:rPr>
          <w:rFonts w:hint="eastAsia" w:ascii="仿宋_GB2312" w:hAnsi="Times New Roman" w:eastAsia="仿宋_GB2312" w:cs="仿宋_GB2312"/>
          <w:color w:val="000000"/>
          <w:kern w:val="0"/>
          <w:sz w:val="32"/>
          <w:szCs w:val="32"/>
        </w:rPr>
        <w:t>度政府性基金支出决算情况。</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五、</w:t>
      </w:r>
      <w:r>
        <w:rPr>
          <w:rFonts w:hint="eastAsia" w:ascii="仿宋_GB2312" w:hAnsi="Times New Roman" w:eastAsia="仿宋_GB2312" w:cs="仿宋_GB2312"/>
          <w:color w:val="000000"/>
          <w:kern w:val="0"/>
          <w:sz w:val="32"/>
          <w:szCs w:val="32"/>
          <w:lang w:eastAsia="zh-CN"/>
        </w:rPr>
        <w:t>2022年</w:t>
      </w:r>
      <w:r>
        <w:rPr>
          <w:rFonts w:hint="eastAsia" w:ascii="仿宋_GB2312" w:hAnsi="Times New Roman" w:eastAsia="仿宋_GB2312" w:cs="仿宋_GB2312"/>
          <w:color w:val="000000"/>
          <w:kern w:val="0"/>
          <w:sz w:val="32"/>
          <w:szCs w:val="32"/>
        </w:rPr>
        <w:t>度国有资本经营预算支出决算情况。</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六、财政拨款“三公”经费支出决算情况说明。</w:t>
      </w:r>
    </w:p>
    <w:p>
      <w:pPr>
        <w:autoSpaceDE w:val="0"/>
        <w:autoSpaceDN w:val="0"/>
        <w:adjustRightInd w:val="0"/>
        <w:ind w:firstLine="640" w:firstLineChars="200"/>
        <w:jc w:val="left"/>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七、其他重要事项情况说明。</w:t>
      </w:r>
    </w:p>
    <w:p>
      <w:pPr>
        <w:ind w:firstLine="645"/>
        <w:jc w:val="left"/>
        <w:rPr>
          <w:rFonts w:ascii="黑体" w:hAnsi="黑体" w:eastAsia="黑体"/>
          <w:sz w:val="32"/>
          <w:szCs w:val="32"/>
        </w:rPr>
      </w:pPr>
      <w:r>
        <w:rPr>
          <w:rFonts w:ascii="黑体" w:hAnsi="黑体" w:eastAsia="黑体"/>
          <w:sz w:val="32"/>
          <w:szCs w:val="32"/>
        </w:rPr>
        <w:t>第四部分:名词解释</w:t>
      </w: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pStyle w:val="6"/>
        <w:widowControl/>
        <w:spacing w:before="196" w:beforeAutospacing="0" w:after="196" w:afterAutospacing="0" w:line="540" w:lineRule="atLeast"/>
        <w:ind w:firstLine="420"/>
        <w:jc w:val="left"/>
        <w:rPr>
          <w:rFonts w:ascii="Arial" w:hAnsi="Arial" w:eastAsia="微软雅黑" w:cs="Arial"/>
          <w:color w:val="000000"/>
          <w:shd w:val="clear" w:color="auto" w:fill="FFFFFF"/>
        </w:rPr>
      </w:pPr>
    </w:p>
    <w:p>
      <w:pPr>
        <w:ind w:left="0" w:leftChars="0" w:firstLine="0" w:firstLineChars="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u w:val="none"/>
        </w:rPr>
        <w:t>：</w:t>
      </w:r>
      <w:r>
        <w:rPr>
          <w:rFonts w:hint="eastAsia" w:ascii="黑体" w:hAnsi="黑体" w:eastAsia="黑体"/>
          <w:bCs/>
          <w:color w:val="000000"/>
          <w:sz w:val="32"/>
          <w:szCs w:val="32"/>
          <w:u w:val="none"/>
        </w:rPr>
        <w:t>南宁市第一人民医院</w:t>
      </w:r>
      <w:r>
        <w:rPr>
          <w:rFonts w:hint="eastAsia" w:ascii="黑体" w:hAnsi="黑体" w:eastAsia="黑体"/>
          <w:sz w:val="32"/>
          <w:szCs w:val="32"/>
        </w:rPr>
        <w:t>概况</w:t>
      </w:r>
    </w:p>
    <w:p>
      <w:pPr>
        <w:ind w:firstLine="646"/>
        <w:jc w:val="left"/>
        <w:rPr>
          <w:rFonts w:hint="default" w:ascii="黑体" w:hAnsi="黑体" w:eastAsia="黑体"/>
          <w:sz w:val="32"/>
          <w:szCs w:val="32"/>
          <w:lang w:val="en-US"/>
        </w:rPr>
      </w:pPr>
      <w:r>
        <w:rPr>
          <w:rFonts w:hint="eastAsia" w:ascii="黑体" w:hAnsi="黑体" w:eastAsia="黑体"/>
          <w:sz w:val="32"/>
          <w:szCs w:val="32"/>
        </w:rPr>
        <w:t>一、</w:t>
      </w:r>
      <w:r>
        <w:rPr>
          <w:rFonts w:hint="eastAsia" w:ascii="黑体" w:hAnsi="黑体" w:eastAsia="黑体"/>
          <w:sz w:val="32"/>
          <w:szCs w:val="32"/>
          <w:lang w:val="en-US" w:eastAsia="zh-CN"/>
        </w:rPr>
        <w:t>部门职责</w:t>
      </w:r>
    </w:p>
    <w:p>
      <w:pPr>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南宁市第一人民医院是南宁市卫生健康委员会下属的正处级医疗机构。始建于1914年，是一家拥有百年历史的国家三级甲等综合性医院，是广西医科大学第五附属医院和第五临床医学院；是国家住院医师规范化培训基地和国家药物临床试验机构，并拥有I期临床药物试验室；医院设有南宁市儿童先天性心血管疾病研究所和南宁市呼吸道疾病研究所；医院是南宁市心血管疾病诊疗中心、中毒救治中心、危重孕产妇救治中心、危重新生儿救治中心；同时也是卫生部国际紧急救援中心网络医院、全国首批百姓放心医院、国家爱婴医院、中国卒中中心联盟医院、自治区农村儿童重大疾病定点救治医院、绿化环保医院、广西五一劳动奖章获得医院。基本职能和主要工作目标就是治病救人，救死扶伤，造福社会，造福人民。</w:t>
      </w:r>
    </w:p>
    <w:p>
      <w:pPr>
        <w:ind w:firstLine="646"/>
        <w:jc w:val="both"/>
        <w:rPr>
          <w:rFonts w:ascii="仿宋_GB2312" w:eastAsia="仿宋_GB2312"/>
          <w:sz w:val="32"/>
          <w:szCs w:val="32"/>
        </w:rPr>
      </w:pPr>
      <w:r>
        <w:rPr>
          <w:rFonts w:hint="eastAsia" w:ascii="黑体" w:hAnsi="黑体" w:eastAsia="黑体"/>
          <w:sz w:val="32"/>
          <w:szCs w:val="32"/>
        </w:rPr>
        <w:t>二、</w:t>
      </w:r>
      <w:r>
        <w:rPr>
          <w:rFonts w:hint="eastAsia" w:ascii="黑体" w:hAnsi="黑体" w:eastAsia="黑体"/>
          <w:sz w:val="32"/>
          <w:szCs w:val="32"/>
          <w:lang w:val="en-US" w:eastAsia="zh-CN"/>
        </w:rPr>
        <w:t>机构设置</w:t>
      </w:r>
    </w:p>
    <w:p>
      <w:pPr>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我部门没有下属单位，按照部门决算编报要求，单独编制本部门决算。</w:t>
      </w:r>
    </w:p>
    <w:p>
      <w:pPr>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南宁市第一人民医院为事业单位，经费管理方式实行差额预算管理方式，事业单位分类改革类别为公益二类。现有编制床位1445张。临床医技科室78个，其中自治区临床重点专科、学科（培育）等18个，南宁市医学重点专科、特色学科9个，南宁市质控中心8个。职能科室28个，包括院办、党办、团委、人事科、医务部、护理部、财务科、门诊办公室、工会、信息科、医学装备管理科、总务科、教务部、审计科、纪检监察室、宣传科、医疗保险科、感染管理科、保卫科、基础建设项目办公室、离退休管理科、医院治疗与安全管理委员会办公室、医院内控管理办公室、医院运营管理办公室、科研部、医联体办公室、招标采购管理办公室、医疗集团实施运营办公室。人员编制1057人，年末实有在职职工3233人，其中在编职工927人，非编职工2306人，离退休人员677人。</w:t>
      </w:r>
    </w:p>
    <w:p>
      <w:pPr>
        <w:ind w:firstLine="640" w:firstLineChars="200"/>
        <w:jc w:val="left"/>
        <w:rPr>
          <w:rFonts w:hint="eastAsia" w:ascii="仿宋_GB2312" w:hAnsi="Times New Roman" w:eastAsia="仿宋_GB2312" w:cs="Times New Roman"/>
          <w:color w:val="auto"/>
          <w:sz w:val="32"/>
          <w:szCs w:val="32"/>
        </w:rPr>
      </w:pPr>
    </w:p>
    <w:p>
      <w:pPr>
        <w:ind w:firstLine="640" w:firstLineChars="200"/>
        <w:jc w:val="left"/>
        <w:rPr>
          <w:rFonts w:hint="eastAsia" w:ascii="仿宋_GB2312" w:hAnsi="Times New Roman" w:eastAsia="仿宋_GB2312" w:cs="Times New Roman"/>
          <w:color w:val="auto"/>
          <w:sz w:val="32"/>
          <w:szCs w:val="32"/>
        </w:rPr>
      </w:pPr>
    </w:p>
    <w:p>
      <w:pPr>
        <w:ind w:firstLine="640" w:firstLineChars="200"/>
        <w:jc w:val="left"/>
        <w:rPr>
          <w:rFonts w:hint="eastAsia" w:ascii="仿宋_GB2312" w:hAnsi="Times New Roman" w:eastAsia="仿宋_GB2312" w:cs="Times New Roman"/>
          <w:color w:val="auto"/>
          <w:sz w:val="32"/>
          <w:szCs w:val="32"/>
        </w:rPr>
      </w:pPr>
    </w:p>
    <w:p>
      <w:pPr>
        <w:ind w:firstLine="640" w:firstLineChars="200"/>
        <w:jc w:val="left"/>
        <w:rPr>
          <w:rFonts w:hint="eastAsia" w:ascii="仿宋_GB2312" w:hAnsi="Times New Roman" w:eastAsia="仿宋_GB2312" w:cs="Times New Roman"/>
          <w:color w:val="auto"/>
          <w:sz w:val="32"/>
          <w:szCs w:val="32"/>
        </w:rPr>
      </w:pPr>
    </w:p>
    <w:p>
      <w:pPr>
        <w:ind w:firstLine="640" w:firstLineChars="200"/>
        <w:jc w:val="left"/>
        <w:rPr>
          <w:rFonts w:hint="eastAsia" w:ascii="仿宋_GB2312" w:hAnsi="Times New Roman" w:eastAsia="仿宋_GB2312" w:cs="Times New Roman"/>
          <w:color w:val="auto"/>
          <w:sz w:val="32"/>
          <w:szCs w:val="32"/>
        </w:rPr>
      </w:pPr>
    </w:p>
    <w:p>
      <w:pPr>
        <w:ind w:firstLine="640" w:firstLineChars="200"/>
        <w:jc w:val="left"/>
        <w:rPr>
          <w:rFonts w:hint="eastAsia" w:ascii="仿宋_GB2312" w:hAnsi="Times New Roman" w:eastAsia="仿宋_GB2312" w:cs="Times New Roman"/>
          <w:color w:val="auto"/>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南宁市第一人民医院</w:t>
      </w:r>
      <w:r>
        <w:rPr>
          <w:rFonts w:hint="eastAsia" w:ascii="黑体" w:hAnsi="黑体" w:eastAsia="黑体"/>
          <w:sz w:val="32"/>
          <w:szCs w:val="32"/>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124079.47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4742.25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131866.49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137801.23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137402.72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541.30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691.60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548.81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138492.83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138492.83</w:t>
            </w:r>
          </w:p>
        </w:tc>
      </w:tr>
    </w:tbl>
    <w:p>
      <w:pPr>
        <w:autoSpaceDE w:val="0"/>
        <w:autoSpaceDN w:val="0"/>
        <w:adjustRightInd w:val="0"/>
        <w:ind w:firstLine="440" w:firstLineChars="200"/>
        <w:jc w:val="left"/>
        <w:rPr>
          <w:rFonts w:hint="eastAsia" w:ascii="方正仿宋_GB2312" w:hAnsi="方正仿宋_GB2312" w:eastAsia="方正仿宋_GB2312" w:cs="方正仿宋_GB2312"/>
          <w:color w:val="000000"/>
          <w:kern w:val="0"/>
          <w:sz w:val="22"/>
          <w:szCs w:val="22"/>
        </w:rPr>
      </w:pPr>
      <w:r>
        <w:rPr>
          <w:rFonts w:hint="eastAsia" w:ascii="方正仿宋_GB2312" w:hAnsi="方正仿宋_GB2312" w:eastAsia="方正仿宋_GB2312" w:cs="方正仿宋_GB2312"/>
          <w:color w:val="000000"/>
          <w:kern w:val="0"/>
          <w:sz w:val="22"/>
          <w:szCs w:val="22"/>
        </w:rPr>
        <w:t>注：1.本表反映部门本年度的总收支和年末结转结余情况。</w:t>
      </w:r>
      <w:r>
        <w:rPr>
          <w:rFonts w:hint="eastAsia" w:ascii="方正仿宋_GB2312" w:hAnsi="方正仿宋_GB2312" w:eastAsia="方正仿宋_GB2312" w:cs="方正仿宋_GB2312"/>
          <w:color w:val="000000"/>
          <w:kern w:val="0"/>
          <w:sz w:val="22"/>
          <w:szCs w:val="22"/>
        </w:rPr>
        <w:tab/>
      </w:r>
      <w:r>
        <w:rPr>
          <w:rFonts w:hint="eastAsia" w:ascii="方正仿宋_GB2312" w:hAnsi="方正仿宋_GB2312" w:eastAsia="方正仿宋_GB2312" w:cs="方正仿宋_GB2312"/>
          <w:color w:val="000000"/>
          <w:kern w:val="0"/>
          <w:sz w:val="22"/>
          <w:szCs w:val="22"/>
        </w:rPr>
        <w:tab/>
      </w:r>
      <w:r>
        <w:rPr>
          <w:rFonts w:hint="eastAsia" w:ascii="方正仿宋_GB2312" w:hAnsi="方正仿宋_GB2312" w:eastAsia="方正仿宋_GB2312" w:cs="方正仿宋_GB2312"/>
          <w:color w:val="000000"/>
          <w:kern w:val="0"/>
          <w:sz w:val="22"/>
          <w:szCs w:val="22"/>
        </w:rPr>
        <w:tab/>
      </w:r>
      <w:r>
        <w:rPr>
          <w:rFonts w:hint="eastAsia" w:ascii="方正仿宋_GB2312" w:hAnsi="方正仿宋_GB2312" w:eastAsia="方正仿宋_GB2312" w:cs="方正仿宋_GB2312"/>
          <w:color w:val="000000"/>
          <w:kern w:val="0"/>
          <w:sz w:val="22"/>
          <w:szCs w:val="22"/>
        </w:rPr>
        <w:tab/>
      </w:r>
      <w:r>
        <w:rPr>
          <w:rFonts w:hint="eastAsia" w:ascii="方正仿宋_GB2312" w:hAnsi="方正仿宋_GB2312" w:eastAsia="方正仿宋_GB2312" w:cs="方正仿宋_GB2312"/>
          <w:color w:val="000000"/>
          <w:kern w:val="0"/>
          <w:sz w:val="22"/>
          <w:szCs w:val="22"/>
        </w:rPr>
        <w:tab/>
      </w:r>
    </w:p>
    <w:p>
      <w:pPr>
        <w:autoSpaceDE w:val="0"/>
        <w:autoSpaceDN w:val="0"/>
        <w:adjustRightInd w:val="0"/>
        <w:ind w:firstLine="4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22"/>
          <w:szCs w:val="22"/>
        </w:rPr>
        <w:t xml:space="preserve">    2.本套报表金额单位转换时可能存在尾数误差。</w:t>
      </w:r>
      <w:r>
        <w:rPr>
          <w:rFonts w:hint="eastAsia" w:ascii="方正仿宋_GB2312" w:hAnsi="方正仿宋_GB2312" w:eastAsia="方正仿宋_GB2312" w:cs="方正仿宋_GB2312"/>
          <w:color w:val="000000"/>
          <w:kern w:val="0"/>
          <w:sz w:val="32"/>
          <w:szCs w:val="32"/>
        </w:rPr>
        <w:tab/>
      </w:r>
    </w:p>
    <w:p>
      <w:pPr>
        <w:rPr>
          <w:rFonts w:hint="eastAsia" w:ascii="方正仿宋_GB2312" w:hAnsi="方正仿宋_GB2312" w:eastAsia="方正仿宋_GB2312" w:cs="方正仿宋_GB2312"/>
          <w:color w:val="000000"/>
          <w:kern w:val="0"/>
          <w:sz w:val="30"/>
          <w:szCs w:val="30"/>
          <w:highlight w:val="none"/>
          <w:lang w:bidi="ar"/>
        </w:rPr>
      </w:pPr>
      <w:r>
        <w:rPr>
          <w:rFonts w:hint="eastAsia" w:ascii="方正仿宋_GB2312" w:hAnsi="方正仿宋_GB2312" w:eastAsia="方正仿宋_GB2312" w:cs="方正仿宋_GB2312"/>
          <w:color w:val="000000"/>
          <w:kern w:val="0"/>
          <w:sz w:val="32"/>
          <w:szCs w:val="32"/>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表二：收入决算表</w:t>
            </w:r>
          </w:p>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sz w:val="24"/>
                <w:highlight w:val="none"/>
              </w:rPr>
            </w:pPr>
          </w:p>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Cs w:val="21"/>
                <w:highlight w:val="none"/>
              </w:rPr>
            </w:pPr>
            <w:r>
              <w:rPr>
                <w:rFonts w:hint="eastAsia" w:ascii="方正仿宋_GB2312" w:hAnsi="方正仿宋_GB2312" w:eastAsia="方正仿宋_GB2312" w:cs="方正仿宋_GB2312"/>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137801.23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8979.51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124079.47</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4742.25</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人力资源和社会保障管理事务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其他人力资源和社会保障管理事务支出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事业单位离退休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死亡抚恤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132265.00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8694.19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118828.56</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4742.25</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公立医院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129176.95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5606.14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118828.56</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4742.25</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综合医院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129176.95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5606.14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118828.56</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4742.25</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1338.59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1338.59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60.93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60.93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1255.15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1255.15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其他公共卫生支出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中医药</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中医（民族医）药专项</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行政事业单位医疗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2101102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金融支出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金融发展支出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其他金融发展支出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注：本表反映部门本年度取得的各项收入情况。</w:t>
            </w:r>
          </w:p>
        </w:tc>
      </w:tr>
    </w:tbl>
    <w:p>
      <w:pPr>
        <w:jc w:val="center"/>
        <w:rPr>
          <w:rFonts w:hint="eastAsia" w:ascii="方正仿宋_GB2312" w:hAnsi="方正仿宋_GB2312" w:eastAsia="方正仿宋_GB2312" w:cs="方正仿宋_GB2312"/>
          <w:sz w:val="24"/>
          <w:highlight w:val="none"/>
        </w:rPr>
      </w:pPr>
    </w:p>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表三：支出决算表</w:t>
      </w:r>
    </w:p>
    <w:p>
      <w:pPr>
        <w:jc w:val="left"/>
        <w:rPr>
          <w:rFonts w:hint="eastAsia" w:ascii="方正仿宋_GB2312" w:hAnsi="方正仿宋_GB2312" w:eastAsia="方正仿宋_GB2312" w:cs="方正仿宋_GB2312"/>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137402.72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61995.40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75407.32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213.95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59.43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人力资源和社会保障管理事务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其他人力资源和社会保障管理事务支出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26.46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事业单位离退休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158.27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26.46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82.15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28.73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2080801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死亡抚恤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82.15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28.73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131866.49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56530.55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75335.95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公立医院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128778.44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56075.87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72702.58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综合医院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128778.44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56075.87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72702.58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1338.59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1338.59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20.02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60.93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60.93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1255.15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1255.15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其他公共卫生支出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中医药</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中医（民族医）药专项</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行政事业单位医疗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2101102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454.68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1290.54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金融支出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金融发展支出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2170399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其他金融发展支出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5250.91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注：本表反映部门本年度各项支出情况。</w:t>
            </w:r>
          </w:p>
        </w:tc>
      </w:tr>
    </w:tbl>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表四：财政拨款收入支出决算总表</w:t>
      </w: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273.38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8694.19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8694.19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11.94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8979.51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0"/>
                <w:szCs w:val="20"/>
                <w:highlight w:val="none"/>
              </w:rPr>
            </w:pPr>
          </w:p>
        </w:tc>
      </w:tr>
    </w:tbl>
    <w:p>
      <w:pPr>
        <w:jc w:val="left"/>
        <w:rPr>
          <w:rFonts w:hint="eastAsia" w:ascii="方正仿宋_GB2312" w:hAnsi="方正仿宋_GB2312" w:eastAsia="方正仿宋_GB2312" w:cs="方正仿宋_GB2312"/>
          <w:sz w:val="24"/>
          <w:highlight w:val="none"/>
        </w:rPr>
      </w:pPr>
    </w:p>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表五：一般公共预算财政拨款支出决算表</w:t>
      </w:r>
    </w:p>
    <w:p>
      <w:pPr>
        <w:jc w:val="left"/>
        <w:rPr>
          <w:rFonts w:hint="eastAsia" w:ascii="方正仿宋_GB2312" w:hAnsi="方正仿宋_GB2312" w:eastAsia="方正仿宋_GB2312" w:cs="方正仿宋_GB2312"/>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8979.51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668.63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8310.88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273.38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213.95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59.43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人力资源和社会保障管理事务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其他人力资源和社会保障管理事务支出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158.27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131.80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26.46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事业单位离退休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158.27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131.80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26.46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82.15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28.73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2080801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死亡抚恤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82.15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28.73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8694.19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8239.51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公立医院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5606.14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5606.14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综合医院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5606.14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5606.14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1338.59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1338.59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20.02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20.02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60.93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60.93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2100410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突发公共卫生事件应急处理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1255.15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1255.15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2100499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其他公共卫生支出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中医药</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中医（民族医）药专项</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行政事业单位医疗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2101102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1290.54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1290.54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1290.54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1290.54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金融支出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21703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金融发展支出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2170399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 xml:space="preserve">  其他金融发展支出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11.94</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注：本表反映部门本年度一般公共预算财政拨款支出情况。</w:t>
            </w:r>
          </w:p>
        </w:tc>
      </w:tr>
    </w:tbl>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表六：一般公共预算财政拨款基本支出决算表</w:t>
      </w:r>
    </w:p>
    <w:tbl>
      <w:tblPr>
        <w:tblStyle w:val="7"/>
        <w:tblW w:w="14000" w:type="dxa"/>
        <w:tblInd w:w="96" w:type="dxa"/>
        <w:tblLayout w:type="fixed"/>
        <w:tblCellMar>
          <w:top w:w="0" w:type="dxa"/>
          <w:left w:w="108" w:type="dxa"/>
          <w:bottom w:w="0" w:type="dxa"/>
          <w:right w:w="108" w:type="dxa"/>
        </w:tblCellMar>
      </w:tblPr>
      <w:tblGrid>
        <w:gridCol w:w="1762"/>
        <w:gridCol w:w="1716"/>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7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决算数</w:t>
            </w:r>
          </w:p>
        </w:tc>
      </w:tr>
      <w:tr>
        <w:tblPrEx>
          <w:tblCellMar>
            <w:top w:w="0" w:type="dxa"/>
            <w:left w:w="108" w:type="dxa"/>
            <w:bottom w:w="0" w:type="dxa"/>
            <w:right w:w="108" w:type="dxa"/>
          </w:tblCellMar>
        </w:tblPrEx>
        <w:trPr>
          <w:trHeight w:val="1442" w:hRule="atLeast"/>
        </w:trPr>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30101</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30102</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30103</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30106</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30107</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30108</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30109</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30110</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454.68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30111</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30112</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30113</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30114</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30199</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213.95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30301</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78.80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30302</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52.28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30303</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30304</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82.15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30305</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30306</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30307</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30308</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30309</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30310</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30311</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30399</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人员经费合计</w:t>
            </w:r>
          </w:p>
          <w:bookmarkEnd w:id="0"/>
          <w:bookmarkEnd w:id="1"/>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方正仿宋_GB2312" w:hAnsi="方正仿宋_GB2312" w:eastAsia="方正仿宋_GB2312" w:cs="方正仿宋_GB2312"/>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668.63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注：本表反映部门本年度一般公共预算财政拨款基本支出明细情况。</w:t>
            </w:r>
          </w:p>
        </w:tc>
      </w:tr>
    </w:tbl>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w:t>
      </w:r>
      <w:r>
        <w:rPr>
          <w:rFonts w:hint="eastAsia" w:ascii="方正仿宋_GB2312" w:hAnsi="方正仿宋_GB2312" w:eastAsia="方正仿宋_GB2312" w:cs="方正仿宋_GB2312"/>
          <w:sz w:val="24"/>
          <w:highlight w:val="none"/>
          <w:lang w:val="en-US" w:eastAsia="zh-CN"/>
        </w:rPr>
        <w:t>七</w:t>
      </w:r>
      <w:r>
        <w:rPr>
          <w:rFonts w:hint="eastAsia" w:ascii="方正仿宋_GB2312" w:hAnsi="方正仿宋_GB2312" w:eastAsia="方正仿宋_GB2312" w:cs="方正仿宋_GB2312"/>
          <w:sz w:val="24"/>
          <w:highlight w:val="none"/>
        </w:rPr>
        <w:t>：政府性基金预算财政拨款收入支出决算表</w:t>
      </w: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w:t>
            </w:r>
            <w:r>
              <w:rPr>
                <w:rFonts w:hint="eastAsia" w:ascii="方正仿宋_GB2312" w:hAnsi="方正仿宋_GB2312" w:eastAsia="方正仿宋_GB2312" w:cs="方正仿宋_GB2312"/>
                <w:color w:val="000000"/>
                <w:kern w:val="0"/>
                <w:sz w:val="20"/>
                <w:szCs w:val="20"/>
                <w:highlight w:val="none"/>
                <w:lang w:val="en-US" w:eastAsia="zh-CN" w:bidi="ar"/>
              </w:rPr>
              <w:t>7</w:t>
            </w:r>
            <w:r>
              <w:rPr>
                <w:rFonts w:hint="eastAsia" w:ascii="方正仿宋_GB2312" w:hAnsi="方正仿宋_GB2312" w:eastAsia="方正仿宋_GB2312" w:cs="方正仿宋_GB2312"/>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val="en-US" w:eastAsia="zh-CN" w:bidi="ar"/>
              </w:rPr>
              <w:t xml:space="preserve">本部门2022年度没有政府性基金预算财政拨款收入，也没有政府性基金预算财政拨款安排的支出，故本表无数据。 </w:t>
            </w:r>
          </w:p>
        </w:tc>
      </w:tr>
    </w:tbl>
    <w:p>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表</w:t>
      </w:r>
      <w:r>
        <w:rPr>
          <w:rFonts w:hint="eastAsia" w:ascii="方正仿宋_GB2312" w:hAnsi="方正仿宋_GB2312" w:eastAsia="方正仿宋_GB2312" w:cs="方正仿宋_GB2312"/>
          <w:sz w:val="24"/>
          <w:highlight w:val="none"/>
          <w:lang w:val="en-US" w:eastAsia="zh-CN"/>
        </w:rPr>
        <w:t>八</w:t>
      </w:r>
      <w:r>
        <w:rPr>
          <w:rFonts w:hint="eastAsia" w:ascii="方正仿宋_GB2312" w:hAnsi="方正仿宋_GB2312" w:eastAsia="方正仿宋_GB2312" w:cs="方正仿宋_GB2312"/>
          <w:sz w:val="24"/>
          <w:highlight w:val="none"/>
        </w:rPr>
        <w:t>：国有资本经营预算财政拨款支出决算表</w:t>
      </w: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公开0</w:t>
            </w:r>
            <w:r>
              <w:rPr>
                <w:rFonts w:hint="eastAsia" w:ascii="方正仿宋_GB2312" w:hAnsi="方正仿宋_GB2312" w:eastAsia="方正仿宋_GB2312" w:cs="方正仿宋_GB2312"/>
                <w:color w:val="000000"/>
                <w:kern w:val="0"/>
                <w:sz w:val="20"/>
                <w:szCs w:val="20"/>
                <w:highlight w:val="none"/>
                <w:lang w:val="en-US" w:eastAsia="zh-CN" w:bidi="ar"/>
              </w:rPr>
              <w:t>8</w:t>
            </w:r>
            <w:r>
              <w:rPr>
                <w:rFonts w:hint="eastAsia" w:ascii="方正仿宋_GB2312" w:hAnsi="方正仿宋_GB2312" w:eastAsia="方正仿宋_GB2312" w:cs="方正仿宋_GB2312"/>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b/>
                <w:bCs/>
                <w:color w:val="000000"/>
                <w:sz w:val="22"/>
                <w:szCs w:val="22"/>
                <w:highlight w:val="none"/>
              </w:rPr>
            </w:pPr>
            <w:r>
              <w:rPr>
                <w:rFonts w:hint="eastAsia" w:ascii="方正仿宋_GB2312" w:hAnsi="方正仿宋_GB2312" w:eastAsia="方正仿宋_GB2312" w:cs="方正仿宋_GB2312"/>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3109" w:type="dxa"/>
            <w:gridSpan w:val="4"/>
            <w:tcBorders>
              <w:top w:val="nil"/>
              <w:left w:val="nil"/>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sz w:val="22"/>
                <w:szCs w:val="22"/>
                <w:highlight w:val="none"/>
              </w:rPr>
            </w:pPr>
          </w:p>
        </w:tc>
        <w:tc>
          <w:tcPr>
            <w:tcW w:w="2993" w:type="dxa"/>
            <w:tcBorders>
              <w:top w:val="nil"/>
              <w:left w:val="nil"/>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135" w:type="dxa"/>
            <w:tcBorders>
              <w:top w:val="nil"/>
              <w:left w:val="nil"/>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3065" w:type="dxa"/>
            <w:tcBorders>
              <w:top w:val="nil"/>
              <w:left w:val="nil"/>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val="en-US" w:eastAsia="zh-CN" w:bidi="ar"/>
        </w:rPr>
        <w:t>本部门2022年度没有国有资本经营预算财政拨款收入，也没有国有资本经营预算财政拨款安排的支出，故本表无数据。</w:t>
      </w:r>
      <w:r>
        <w:rPr>
          <w:rFonts w:hint="eastAsia" w:ascii="方正仿宋_GB2312" w:hAnsi="方正仿宋_GB2312" w:eastAsia="方正仿宋_GB2312" w:cs="方正仿宋_GB2312"/>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方正仿宋_GB2312" w:hAnsi="方正仿宋_GB2312" w:eastAsia="方正仿宋_GB2312" w:cs="方正仿宋_GB2312"/>
                <w:color w:val="000000"/>
                <w:kern w:val="0"/>
                <w:sz w:val="30"/>
                <w:szCs w:val="30"/>
                <w:highlight w:val="none"/>
                <w:lang w:bidi="ar"/>
              </w:rPr>
            </w:pPr>
            <w:r>
              <w:rPr>
                <w:rFonts w:hint="eastAsia" w:ascii="方正仿宋_GB2312" w:hAnsi="方正仿宋_GB2312" w:eastAsia="方正仿宋_GB2312" w:cs="方正仿宋_GB2312"/>
                <w:sz w:val="24"/>
                <w:highlight w:val="none"/>
                <w:lang w:val="en-US" w:eastAsia="zh-CN"/>
              </w:rPr>
              <w:t>表九：</w:t>
            </w:r>
            <w:r>
              <w:rPr>
                <w:rFonts w:hint="eastAsia" w:ascii="方正仿宋_GB2312" w:hAnsi="方正仿宋_GB2312" w:eastAsia="方正仿宋_GB2312" w:cs="方正仿宋_GB2312"/>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公开</w:t>
            </w:r>
            <w:r>
              <w:rPr>
                <w:rFonts w:hint="eastAsia" w:ascii="方正仿宋_GB2312" w:hAnsi="方正仿宋_GB2312" w:eastAsia="方正仿宋_GB2312" w:cs="方正仿宋_GB2312"/>
                <w:color w:val="000000"/>
                <w:kern w:val="0"/>
                <w:sz w:val="20"/>
                <w:szCs w:val="20"/>
                <w:highlight w:val="none"/>
                <w:lang w:val="en-US" w:eastAsia="zh-CN" w:bidi="ar"/>
              </w:rPr>
              <w:t>09</w:t>
            </w:r>
            <w:r>
              <w:rPr>
                <w:rFonts w:hint="eastAsia" w:ascii="方正仿宋_GB2312" w:hAnsi="方正仿宋_GB2312" w:eastAsia="方正仿宋_GB2312" w:cs="方正仿宋_GB2312"/>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部门：</w:t>
            </w:r>
            <w:r>
              <w:rPr>
                <w:rFonts w:ascii="方正仿宋_GB2312" w:hAnsi="方正仿宋_GB2312" w:eastAsia="方正仿宋_GB2312" w:cs="方正仿宋_GB2312"/>
                <w:color w:val="000000"/>
                <w:sz w:val="20"/>
                <w:u w:color="auto"/>
              </w:rPr>
              <w:t>南宁市第一人民医院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方正仿宋_GB2312" w:hAnsi="方正仿宋_GB2312" w:eastAsia="方正仿宋_GB2312" w:cs="方正仿宋_GB2312"/>
                <w:color w:val="000000"/>
                <w:sz w:val="20"/>
                <w:szCs w:val="20"/>
                <w:highlight w:val="none"/>
              </w:rPr>
            </w:pPr>
            <w:r>
              <w:rPr>
                <w:rFonts w:hint="eastAsia" w:ascii="方正仿宋_GB2312" w:hAnsi="方正仿宋_GB2312" w:eastAsia="方正仿宋_GB2312" w:cs="方正仿宋_GB2312"/>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bidi="ar"/>
              </w:rPr>
              <w:t>注：本表反映部门本年度“三公”经费支出预决算情况。其中，预算数为“三公”经费全年预算数，反映按规定程序调整后的预算数；决算数是包括当年财政拨款和以前年度结转资金安排的实际支出。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eastAsia" w:ascii="方正仿宋_GB2312" w:hAnsi="方正仿宋_GB2312" w:eastAsia="方正仿宋_GB2312" w:cs="方正仿宋_GB2312"/>
                <w:color w:val="000000"/>
                <w:kern w:val="0"/>
                <w:sz w:val="22"/>
                <w:szCs w:val="22"/>
                <w:highlight w:val="none"/>
                <w:lang w:bidi="ar"/>
              </w:rPr>
            </w:pPr>
            <w:r>
              <w:rPr>
                <w:rFonts w:hint="eastAsia" w:ascii="方正仿宋_GB2312" w:hAnsi="方正仿宋_GB2312" w:eastAsia="方正仿宋_GB2312" w:cs="方正仿宋_GB2312"/>
                <w:color w:val="000000"/>
                <w:kern w:val="0"/>
                <w:sz w:val="22"/>
                <w:szCs w:val="22"/>
                <w:highlight w:val="none"/>
                <w:lang w:val="en-US" w:eastAsia="zh-CN" w:bidi="ar"/>
              </w:rPr>
              <w:t xml:space="preserve">本部门2022年度没有财政拨款“三公”经费收入，也没有财政拨款“三公”经费安排的支出，故本表无数据。  </w:t>
            </w:r>
          </w:p>
        </w:tc>
      </w:tr>
    </w:tbl>
    <w:p>
      <w:pPr>
        <w:pStyle w:val="6"/>
        <w:widowControl/>
        <w:spacing w:before="450" w:beforeAutospacing="0" w:after="450" w:afterAutospacing="0" w:line="420" w:lineRule="atLeast"/>
        <w:ind w:firstLine="645"/>
        <w:jc w:val="left"/>
        <w:rPr>
          <w:rFonts w:ascii="黑体" w:hAnsi="宋体" w:eastAsia="黑体" w:cs="黑体"/>
          <w:color w:val="000000"/>
          <w:sz w:val="36"/>
          <w:szCs w:val="36"/>
          <w:shd w:val="clear" w:color="auto" w:fill="FFFFFF"/>
        </w:rPr>
        <w:sectPr>
          <w:pgSz w:w="16838" w:h="11906" w:orient="landscape"/>
          <w:pgMar w:top="1800" w:right="1440" w:bottom="1800" w:left="1440" w:header="851" w:footer="992" w:gutter="0"/>
          <w:cols w:space="425" w:num="1"/>
          <w:docGrid w:type="lines" w:linePitch="312" w:charSpace="0"/>
        </w:sectPr>
      </w:pPr>
    </w:p>
    <w:p>
      <w:pPr>
        <w:pStyle w:val="6"/>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rFonts w:hint="eastAsia" w:ascii="黑体" w:hAnsi="宋体" w:eastAsia="黑体" w:cs="黑体"/>
          <w:color w:val="000000"/>
          <w:sz w:val="36"/>
          <w:szCs w:val="36"/>
          <w:shd w:val="clear" w:color="auto" w:fill="FFFFFF"/>
        </w:rPr>
      </w:pPr>
      <w:r>
        <w:rPr>
          <w:rFonts w:hint="eastAsia" w:ascii="黑体" w:hAnsi="宋体" w:eastAsia="黑体" w:cs="黑体"/>
          <w:color w:val="000000"/>
          <w:sz w:val="36"/>
          <w:szCs w:val="36"/>
          <w:shd w:val="clear" w:color="auto" w:fill="FFFFFF"/>
        </w:rPr>
        <w:t>第三部分：南宁市第一人民医院</w:t>
      </w:r>
    </w:p>
    <w:p>
      <w:pPr>
        <w:pStyle w:val="6"/>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color w:val="000000"/>
        </w:rPr>
      </w:pPr>
      <w:r>
        <w:rPr>
          <w:rFonts w:hint="eastAsia" w:ascii="黑体" w:hAnsi="宋体" w:eastAsia="黑体" w:cs="黑体"/>
          <w:color w:val="000000"/>
          <w:sz w:val="36"/>
          <w:szCs w:val="36"/>
          <w:shd w:val="clear" w:color="auto" w:fill="FFFFFF"/>
        </w:rPr>
        <w:t>2022年度部门决算情况说明</w:t>
      </w:r>
    </w:p>
    <w:p>
      <w:pPr>
        <w:pStyle w:val="6"/>
        <w:keepNext w:val="0"/>
        <w:keepLines w:val="0"/>
        <w:pageBreakBefore w:val="0"/>
        <w:widowControl/>
        <w:kinsoku/>
        <w:wordWrap/>
        <w:overflowPunct/>
        <w:topLinePunct w:val="0"/>
        <w:autoSpaceDE/>
        <w:autoSpaceDN/>
        <w:bidi w:val="0"/>
        <w:adjustRightInd/>
        <w:snapToGrid/>
        <w:spacing w:before="240" w:beforeAutospacing="0" w:after="240" w:afterAutospacing="0" w:line="420" w:lineRule="atLeast"/>
        <w:ind w:firstLine="646"/>
        <w:jc w:val="left"/>
        <w:textAlignment w:val="auto"/>
        <w:rPr>
          <w:color w:val="000000"/>
          <w:sz w:val="32"/>
          <w:szCs w:val="32"/>
        </w:rPr>
      </w:pPr>
      <w:r>
        <w:rPr>
          <w:rFonts w:hint="eastAsia" w:ascii="黑体" w:hAnsi="宋体" w:eastAsia="黑体" w:cs="黑体"/>
          <w:color w:val="000000"/>
          <w:sz w:val="32"/>
          <w:szCs w:val="32"/>
          <w:shd w:val="clear" w:color="auto" w:fill="FFFFFF"/>
        </w:rPr>
        <w:t>一、2022年度收入支出决算总体情况</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一</w:t>
      </w:r>
      <w:r>
        <w:rPr>
          <w:rFonts w:hint="eastAsia" w:ascii="仿宋_GB2312" w:hAnsi="Times New Roman" w:eastAsia="仿宋_GB2312" w:cs="Times New Roman"/>
          <w:color w:val="000000" w:themeColor="text1"/>
          <w:sz w:val="32"/>
          <w:szCs w:val="32"/>
          <w14:textFill>
            <w14:solidFill>
              <w14:schemeClr w14:val="tx1"/>
            </w14:solidFill>
          </w14:textFill>
        </w:rPr>
        <w:t>）本部门2022年度总收入</w:t>
      </w:r>
      <w:r>
        <w:rPr>
          <w:rFonts w:ascii="仿宋_GB2312" w:hAnsi="仿宋_GB2312" w:eastAsia="仿宋_GB2312" w:cs="仿宋_GB2312"/>
          <w:color w:val="000000"/>
          <w:sz w:val="32"/>
          <w:u w:color="auto"/>
        </w:rPr>
        <w:t>138492.83万元</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其中本年收入</w:t>
      </w:r>
      <w:r>
        <w:rPr>
          <w:rFonts w:ascii="仿宋_GB2312" w:hAnsi="仿宋_GB2312" w:eastAsia="仿宋_GB2312" w:cs="仿宋_GB2312"/>
          <w:color w:val="000000"/>
          <w:sz w:val="32"/>
          <w:u w:color="auto"/>
        </w:rPr>
        <w:t>137801.23万元，较2021年度决算数137163.32万元，增加1329.51万元，增长0.97%。收入具体情况如下：</w:t>
      </w:r>
    </w:p>
    <w:p>
      <w:pPr>
        <w:keepNext w:val="0"/>
        <w:keepLines w:val="0"/>
        <w:pageBreakBefore w:val="0"/>
        <w:kinsoku/>
        <w:wordWrap/>
        <w:overflowPunct/>
        <w:bidi w:val="0"/>
        <w:snapToGrid/>
        <w:spacing w:line="240" w:lineRule="auto"/>
        <w:ind w:firstLine="640" w:firstLineChars="200"/>
        <w:jc w:val="both"/>
        <w:textAlignment w:val="auto"/>
        <w:rPr>
          <w:rFonts w:hint="eastAsia" w:ascii="方正仿宋_GB2312" w:hAnsi="方正仿宋_GB2312" w:eastAsia="方正仿宋_GB2312" w:cs="方正仿宋_GB2312"/>
          <w:color w:val="auto"/>
          <w:kern w:val="0"/>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1.一般公共预算财政拨款收入</w:t>
      </w:r>
      <w:r>
        <w:rPr>
          <w:rFonts w:ascii="仿宋_GB2312" w:hAnsi="仿宋_GB2312" w:eastAsia="仿宋_GB2312" w:cs="仿宋_GB2312"/>
          <w:color w:val="000000"/>
          <w:sz w:val="32"/>
          <w:u w:color="auto"/>
        </w:rPr>
        <w:t>8979.51万元，为南宁市本级财政当年拨付的资金。较2021年度决算数9391.14万元，减少411.63万元，下降4.38%，</w:t>
      </w:r>
      <w:r>
        <w:rPr>
          <w:rFonts w:hint="eastAsia" w:ascii="仿宋_GB2312" w:hAnsi="黑体" w:eastAsia="仿宋_GB2312" w:cs="Times New Roman"/>
          <w:color w:val="000000" w:themeColor="text1"/>
          <w:sz w:val="32"/>
          <w:szCs w:val="32"/>
          <w:lang w:val="en-US" w:eastAsia="zh-CN"/>
          <w14:textFill>
            <w14:solidFill>
              <w14:schemeClr w14:val="tx1"/>
            </w14:solidFill>
          </w14:textFill>
        </w:rPr>
        <w:t>主要原因：</w:t>
      </w:r>
      <w:r>
        <w:rPr>
          <w:rFonts w:hint="eastAsia" w:ascii="仿宋_GB2312" w:hAnsi="黑体" w:eastAsia="仿宋_GB2312" w:cs="Times New Roman"/>
          <w:color w:val="auto"/>
          <w:sz w:val="32"/>
          <w:szCs w:val="32"/>
          <w:lang w:val="en-US" w:eastAsia="zh-CN"/>
        </w:rPr>
        <w:t>受采购审批流程、采购招投标流程及财政支付系统关闭时间影响，部分指标结转至下年支付</w:t>
      </w:r>
      <w:r>
        <w:rPr>
          <w:rFonts w:hint="eastAsia" w:ascii="仿宋_GB2312" w:hAnsi="黑体" w:eastAsia="仿宋_GB2312" w:cs="Times New Roman"/>
          <w:color w:val="auto"/>
          <w:sz w:val="32"/>
          <w:szCs w:val="32"/>
        </w:rPr>
        <w:t>。</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黑体" w:eastAsia="仿宋_GB2312" w:cs="Times New Roman"/>
          <w:color w:val="auto"/>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2.政府性基金预算财政拨款收入</w:t>
      </w:r>
      <w:r>
        <w:rPr>
          <w:rFonts w:ascii="仿宋_GB2312" w:hAnsi="仿宋_GB2312" w:eastAsia="仿宋_GB2312" w:cs="仿宋_GB2312"/>
          <w:color w:val="000000"/>
          <w:sz w:val="32"/>
          <w:u w:color="auto"/>
        </w:rPr>
        <w:t>0.00万元，为南宁市本级财政当年拨付的资金。较2021年度决算数1000.00万元，减少1000.00万元，下降100.00%，</w:t>
      </w:r>
      <w:r>
        <w:rPr>
          <w:rFonts w:hint="eastAsia" w:ascii="仿宋_GB2312" w:hAnsi="黑体" w:eastAsia="仿宋_GB2312" w:cs="Times New Roman"/>
          <w:color w:val="000000" w:themeColor="text1"/>
          <w:sz w:val="32"/>
          <w:szCs w:val="32"/>
          <w:lang w:val="en-US" w:eastAsia="zh-CN"/>
          <w14:textFill>
            <w14:solidFill>
              <w14:schemeClr w14:val="tx1"/>
            </w14:solidFill>
          </w14:textFill>
        </w:rPr>
        <w:t>主要原因：</w:t>
      </w:r>
      <w:r>
        <w:rPr>
          <w:rFonts w:hint="eastAsia" w:ascii="仿宋_GB2312" w:hAnsi="黑体" w:eastAsia="仿宋_GB2312" w:cs="Times New Roman"/>
          <w:color w:val="auto"/>
          <w:sz w:val="32"/>
          <w:szCs w:val="32"/>
          <w:lang w:val="en-US" w:eastAsia="zh-CN"/>
        </w:rPr>
        <w:t>2022年无政府债券资金收入。</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黑体" w:eastAsia="仿宋_GB2312" w:cs="Times New Roman"/>
          <w:color w:val="FF0000"/>
          <w:sz w:val="32"/>
          <w:szCs w:val="32"/>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.国有资本经营预算财政拨款收入</w:t>
      </w:r>
      <w:r>
        <w:rPr>
          <w:rFonts w:ascii="仿宋_GB2312" w:hAnsi="仿宋_GB2312" w:eastAsia="仿宋_GB2312" w:cs="仿宋_GB2312"/>
          <w:color w:val="000000"/>
          <w:sz w:val="32"/>
          <w:u w:color="auto"/>
        </w:rPr>
        <w:t>0.00万元，为南宁市本级财政当年拨付的资金。较2021年度决算数0.00万元，增加0.00万元，增长0%</w:t>
      </w:r>
      <w:r>
        <w:rPr>
          <w:rFonts w:hint="eastAsia" w:ascii="仿宋_GB2312" w:hAnsi="仿宋_GB2312" w:eastAsia="仿宋_GB2312" w:cs="仿宋_GB2312"/>
          <w:color w:val="000000"/>
          <w:sz w:val="32"/>
          <w:u w:color="auto"/>
          <w:lang w:eastAsia="zh-CN"/>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仿宋_GB2312" w:eastAsia="仿宋_GB2312" w:cs="仿宋_GB2312"/>
          <w:color w:val="000000"/>
          <w:sz w:val="32"/>
          <w:u w:color="auto"/>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Times New Roman" w:eastAsia="仿宋_GB2312" w:cs="Times New Roman"/>
          <w:color w:val="000000" w:themeColor="text1"/>
          <w:sz w:val="32"/>
          <w:szCs w:val="32"/>
          <w14:textFill>
            <w14:solidFill>
              <w14:schemeClr w14:val="tx1"/>
            </w14:solidFill>
          </w14:textFill>
        </w:rPr>
        <w:t>.事业收入</w:t>
      </w:r>
      <w:r>
        <w:rPr>
          <w:rFonts w:ascii="仿宋_GB2312" w:hAnsi="仿宋_GB2312" w:eastAsia="仿宋_GB2312" w:cs="仿宋_GB2312"/>
          <w:color w:val="000000"/>
          <w:sz w:val="32"/>
          <w:u w:color="auto"/>
        </w:rPr>
        <w:t>124079.47万元，为事业单位开展业务活动取得的收入。较2021年度决算数121856.83万元，增加2222.64万元，增长1.82%，</w:t>
      </w:r>
      <w:r>
        <w:rPr>
          <w:rFonts w:hint="eastAsia" w:ascii="仿宋_GB2312" w:hAnsi="黑体" w:eastAsia="仿宋_GB2312" w:cs="Times New Roman"/>
          <w:color w:val="000000" w:themeColor="text1"/>
          <w:sz w:val="32"/>
          <w:szCs w:val="32"/>
          <w:lang w:val="en-US" w:eastAsia="zh-CN"/>
          <w14:textFill>
            <w14:solidFill>
              <w14:schemeClr w14:val="tx1"/>
            </w14:solidFill>
          </w14:textFill>
        </w:rPr>
        <w:t>主要原因：</w:t>
      </w:r>
      <w:r>
        <w:rPr>
          <w:rFonts w:hint="eastAsia" w:ascii="仿宋_GB2312" w:hAnsi="仿宋_GB2312" w:eastAsia="仿宋_GB2312" w:cs="仿宋_GB2312"/>
          <w:color w:val="000000"/>
          <w:sz w:val="32"/>
          <w:u w:color="auto"/>
          <w:lang w:val="en-US" w:eastAsia="zh-CN"/>
        </w:rPr>
        <w:t>疫情好转，医院收入有所回升</w:t>
      </w:r>
      <w:r>
        <w:rPr>
          <w:rFonts w:hint="eastAsia" w:ascii="仿宋_GB2312" w:hAnsi="仿宋_GB2312" w:eastAsia="仿宋_GB2312" w:cs="仿宋_GB2312"/>
          <w:color w:val="000000"/>
          <w:sz w:val="32"/>
          <w:u w:color="auto"/>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仿宋_GB2312" w:eastAsia="仿宋_GB2312" w:cs="仿宋_GB2312"/>
          <w:color w:val="000000"/>
          <w:sz w:val="32"/>
          <w:u w:color="auto"/>
          <w:lang w:val="en-US" w:eastAsia="zh-CN"/>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Times New Roman" w:eastAsia="仿宋_GB2312" w:cs="Times New Roman"/>
          <w:color w:val="000000" w:themeColor="text1"/>
          <w:sz w:val="32"/>
          <w:szCs w:val="32"/>
          <w14:textFill>
            <w14:solidFill>
              <w14:schemeClr w14:val="tx1"/>
            </w14:solidFill>
          </w14:textFill>
        </w:rPr>
        <w:t>经营收入</w:t>
      </w:r>
      <w:r>
        <w:rPr>
          <w:rFonts w:ascii="仿宋_GB2312" w:hAnsi="仿宋_GB2312" w:eastAsia="仿宋_GB2312" w:cs="仿宋_GB2312"/>
          <w:color w:val="000000"/>
          <w:sz w:val="32"/>
          <w:u w:color="auto"/>
        </w:rPr>
        <w:t>0.00万，为事业单位在业务活动之外开展非独立核算经营活动取得的收入。较2021年度决算数0.00万元，增加0.00万元，增长0%</w:t>
      </w:r>
      <w:r>
        <w:rPr>
          <w:rFonts w:hint="eastAsia" w:ascii="仿宋_GB2312" w:hAnsi="仿宋_GB2312" w:eastAsia="仿宋_GB2312" w:cs="仿宋_GB2312"/>
          <w:color w:val="000000"/>
          <w:sz w:val="32"/>
          <w:u w:color="auto"/>
          <w:lang w:eastAsia="zh-CN"/>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仿宋_GB2312" w:eastAsia="仿宋_GB2312" w:cs="仿宋_GB2312"/>
          <w:color w:val="000000"/>
          <w:sz w:val="32"/>
          <w:u w:color="auto"/>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Times New Roman" w:eastAsia="仿宋_GB2312" w:cs="Times New Roman"/>
          <w:color w:val="000000" w:themeColor="text1"/>
          <w:sz w:val="32"/>
          <w:szCs w:val="32"/>
          <w14:textFill>
            <w14:solidFill>
              <w14:schemeClr w14:val="tx1"/>
            </w14:solidFill>
          </w14:textFill>
        </w:rPr>
        <w:t>.其他收入</w:t>
      </w:r>
      <w:r>
        <w:rPr>
          <w:rFonts w:ascii="仿宋_GB2312" w:hAnsi="仿宋_GB2312" w:eastAsia="仿宋_GB2312" w:cs="仿宋_GB2312"/>
          <w:color w:val="000000"/>
          <w:sz w:val="32"/>
          <w:u w:color="auto"/>
        </w:rPr>
        <w:t>4742.25万元，为预算单位在“财政拨款收入”“事业收入”“经营收入”之外取得的收入。较2021年度决算数3815.85万元，增加926.40万元，增长24.28%，</w:t>
      </w:r>
      <w:r>
        <w:rPr>
          <w:rFonts w:hint="eastAsia" w:ascii="仿宋_GB2312" w:hAnsi="黑体" w:eastAsia="仿宋_GB2312" w:cs="Times New Roman"/>
          <w:color w:val="000000" w:themeColor="text1"/>
          <w:sz w:val="32"/>
          <w:szCs w:val="32"/>
          <w:lang w:val="en-US" w:eastAsia="zh-CN"/>
          <w14:textFill>
            <w14:solidFill>
              <w14:schemeClr w14:val="tx1"/>
            </w14:solidFill>
          </w14:textFill>
        </w:rPr>
        <w:t>主要原因：</w:t>
      </w:r>
      <w:r>
        <w:rPr>
          <w:rFonts w:hint="eastAsia" w:ascii="仿宋_GB2312" w:hAnsi="仿宋_GB2312" w:eastAsia="仿宋_GB2312" w:cs="仿宋_GB2312"/>
          <w:color w:val="000000"/>
          <w:sz w:val="32"/>
          <w:u w:color="auto"/>
        </w:rPr>
        <w:t>药物临床试验款项目收入增长。</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黑体" w:eastAsia="仿宋_GB2312" w:cs="Times New Roman"/>
          <w:color w:val="FF0000"/>
          <w:sz w:val="32"/>
          <w:szCs w:val="32"/>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Times New Roman" w:eastAsia="仿宋_GB2312" w:cs="Times New Roman"/>
          <w:color w:val="000000" w:themeColor="text1"/>
          <w:sz w:val="32"/>
          <w:szCs w:val="32"/>
          <w14:textFill>
            <w14:solidFill>
              <w14:schemeClr w14:val="tx1"/>
            </w14:solidFill>
          </w14:textFill>
        </w:rPr>
        <w:t>.使用非财政拨款结余</w:t>
      </w:r>
      <w:r>
        <w:rPr>
          <w:rFonts w:ascii="仿宋_GB2312" w:hAnsi="仿宋_GB2312" w:eastAsia="仿宋_GB2312" w:cs="仿宋_GB2312"/>
          <w:color w:val="000000"/>
          <w:sz w:val="32"/>
          <w:u w:color="auto"/>
        </w:rPr>
        <w:t>0.00万元，主要是所属事业单位在当年的“财政拨款收入”“事业收入”“经营收入”及“其他收入”不能保证其支出的情况下，使用以前年度积累的非财政拨款结余弥补本年度收支缺口的资金。较2021年度决算数0.00万元，增加0.00万元，增长0%</w:t>
      </w:r>
      <w:r>
        <w:rPr>
          <w:rFonts w:hint="eastAsia" w:ascii="仿宋_GB2312" w:hAnsi="仿宋_GB2312" w:eastAsia="仿宋_GB2312" w:cs="仿宋_GB2312"/>
          <w:color w:val="000000"/>
          <w:sz w:val="32"/>
          <w:u w:color="auto"/>
          <w:lang w:eastAsia="zh-CN"/>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仿宋_GB2312" w:eastAsia="仿宋_GB2312" w:cs="仿宋_GB2312"/>
          <w:color w:val="000000"/>
          <w:sz w:val="32"/>
          <w:u w:color="auto"/>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上年</w:t>
      </w:r>
      <w:r>
        <w:rPr>
          <w:rFonts w:hint="eastAsia" w:ascii="仿宋_GB2312" w:hAnsi="Times New Roman" w:eastAsia="仿宋_GB2312" w:cs="Times New Roman"/>
          <w:color w:val="000000" w:themeColor="text1"/>
          <w:sz w:val="32"/>
          <w:szCs w:val="32"/>
          <w14:textFill>
            <w14:solidFill>
              <w14:schemeClr w14:val="tx1"/>
            </w14:solidFill>
          </w14:textFill>
        </w:rPr>
        <w:t>结转和结余</w:t>
      </w:r>
      <w:r>
        <w:rPr>
          <w:rFonts w:ascii="仿宋_GB2312" w:hAnsi="仿宋_GB2312" w:eastAsia="仿宋_GB2312" w:cs="仿宋_GB2312"/>
          <w:color w:val="000000"/>
          <w:sz w:val="32"/>
          <w:u w:color="auto"/>
        </w:rPr>
        <w:t>691.60万元，为以前年度支出预算因客观条件变化未执行完毕、结转到本年度按有关规定继续使用的资金。较2021年度决算数1099.49万元减少407.89万元，下降37.10%，主要原因是：</w:t>
      </w:r>
      <w:r>
        <w:rPr>
          <w:rFonts w:hint="eastAsia" w:ascii="仿宋_GB2312" w:hAnsi="仿宋_GB2312" w:eastAsia="仿宋_GB2312" w:cs="仿宋_GB2312"/>
          <w:color w:val="000000"/>
          <w:sz w:val="32"/>
          <w:u w:color="auto"/>
          <w:lang w:val="en-US" w:eastAsia="zh-CN"/>
        </w:rPr>
        <w:t>医技综合楼项目已于2021年完成支付，2022年无此项目结转</w:t>
      </w:r>
      <w:r>
        <w:rPr>
          <w:rFonts w:hint="eastAsia" w:ascii="仿宋_GB2312" w:hAnsi="仿宋_GB2312" w:eastAsia="仿宋_GB2312" w:cs="仿宋_GB2312"/>
          <w:color w:val="000000"/>
          <w:sz w:val="32"/>
          <w:u w:color="auto"/>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auto"/>
          <w:sz w:val="32"/>
          <w:szCs w:val="32"/>
          <w:highlight w:val="none"/>
        </w:rPr>
        <w:t>（二）本部门2022年度总支出</w:t>
      </w:r>
      <w:r>
        <w:rPr>
          <w:rFonts w:ascii="仿宋_GB2312" w:hAnsi="仿宋_GB2312" w:eastAsia="仿宋_GB2312" w:cs="仿宋_GB2312"/>
          <w:color w:val="auto"/>
          <w:sz w:val="32"/>
          <w:highlight w:val="none"/>
          <w:u w:color="auto"/>
        </w:rPr>
        <w:t>138492.83万元</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其中</w:t>
      </w:r>
      <w:r>
        <w:rPr>
          <w:rFonts w:hint="eastAsia" w:ascii="仿宋_GB2312" w:hAnsi="Times New Roman" w:eastAsia="仿宋_GB2312" w:cs="Times New Roman"/>
          <w:color w:val="000000" w:themeColor="text1"/>
          <w:sz w:val="32"/>
          <w:szCs w:val="32"/>
          <w14:textFill>
            <w14:solidFill>
              <w14:schemeClr w14:val="tx1"/>
            </w14:solidFill>
          </w14:textFill>
        </w:rPr>
        <w:t>本年支出</w:t>
      </w:r>
      <w:r>
        <w:rPr>
          <w:rFonts w:ascii="仿宋_GB2312" w:hAnsi="仿宋_GB2312" w:eastAsia="仿宋_GB2312" w:cs="仿宋_GB2312"/>
          <w:color w:val="000000"/>
          <w:sz w:val="32"/>
          <w:u w:color="auto"/>
        </w:rPr>
        <w:t>137402.72万元，较2021年度决算数137163.32万元增加1329.51</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仿宋_GB2312" w:eastAsia="仿宋_GB2312" w:cs="仿宋_GB2312"/>
          <w:color w:val="000000"/>
          <w:sz w:val="32"/>
          <w:u w:color="auto"/>
        </w:rPr>
        <w:t>增长0.97%。支出具体情况如下：</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w:t>
      </w:r>
      <w:r>
        <w:rPr>
          <w:rFonts w:ascii="仿宋_GB2312" w:hAnsi="仿宋_GB2312" w:eastAsia="仿宋_GB2312" w:cs="仿宋_GB2312"/>
          <w:color w:val="000000"/>
          <w:sz w:val="32"/>
          <w:u w:color="auto"/>
        </w:rPr>
        <w:t>.社会保障和就业支出</w:t>
      </w:r>
      <w:r>
        <w:rPr>
          <w:rFonts w:hint="eastAsia" w:ascii="仿宋_GB2312" w:hAnsi="Times New Roman" w:eastAsia="仿宋_GB2312" w:cs="Times New Roman"/>
          <w:color w:val="000000" w:themeColor="text1"/>
          <w:sz w:val="32"/>
          <w:szCs w:val="32"/>
          <w14:textFill>
            <w14:solidFill>
              <w14:schemeClr w14:val="tx1"/>
            </w14:solidFill>
          </w14:textFill>
        </w:rPr>
        <w:t>（类）</w:t>
      </w:r>
      <w:r>
        <w:rPr>
          <w:rFonts w:ascii="仿宋_GB2312" w:hAnsi="仿宋_GB2312" w:eastAsia="仿宋_GB2312" w:cs="仿宋_GB2312"/>
          <w:color w:val="000000"/>
          <w:sz w:val="32"/>
          <w:u w:color="auto"/>
        </w:rPr>
        <w:t>273.38</w:t>
      </w:r>
      <w:r>
        <w:rPr>
          <w:rFonts w:hint="eastAsia" w:ascii="仿宋_GB2312" w:hAnsi="Times New Roman" w:eastAsia="仿宋_GB2312" w:cs="Times New Roman"/>
          <w:color w:val="000000" w:themeColor="text1"/>
          <w:sz w:val="32"/>
          <w:szCs w:val="32"/>
          <w14:textFill>
            <w14:solidFill>
              <w14:schemeClr w14:val="tx1"/>
            </w14:solidFill>
          </w14:textFill>
        </w:rPr>
        <w:t>万元，主要用于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：按国家规定发放的离退休人员工资、津补贴及离退休人员管理方面的支出</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较2021年决算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数</w:t>
      </w:r>
      <w:r>
        <w:rPr>
          <w:rFonts w:hint="eastAsia" w:ascii="仿宋_GB2312" w:hAnsi="Times New Roman" w:eastAsia="仿宋_GB2312" w:cs="Times New Roman"/>
          <w:color w:val="000000" w:themeColor="text1"/>
          <w:sz w:val="32"/>
          <w:szCs w:val="32"/>
          <w14:textFill>
            <w14:solidFill>
              <w14:schemeClr w14:val="tx1"/>
            </w14:solidFill>
          </w14:textFill>
        </w:rPr>
        <w:t>235.42万元</w:t>
      </w:r>
      <w:r>
        <w:rPr>
          <w:rFonts w:ascii="仿宋_GB2312" w:hAnsi="仿宋_GB2312" w:eastAsia="仿宋_GB2312" w:cs="仿宋_GB2312"/>
          <w:color w:val="000000"/>
          <w:sz w:val="32"/>
          <w:u w:color="auto"/>
        </w:rPr>
        <w:t>增加37.96万元，增长16.12%，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主要原因是：离退休支出和抚恤金支出均略有增加。</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仿宋_GB2312" w:eastAsia="仿宋_GB2312" w:cs="仿宋_GB2312"/>
          <w:color w:val="000000"/>
          <w:sz w:val="32"/>
          <w:u w:color="auto"/>
        </w:rPr>
        <w:t>.卫生健康支出</w:t>
      </w:r>
      <w:r>
        <w:rPr>
          <w:rFonts w:hint="eastAsia" w:ascii="仿宋_GB2312" w:hAnsi="Times New Roman" w:eastAsia="仿宋_GB2312" w:cs="Times New Roman"/>
          <w:color w:val="000000" w:themeColor="text1"/>
          <w:sz w:val="32"/>
          <w:szCs w:val="32"/>
          <w14:textFill>
            <w14:solidFill>
              <w14:schemeClr w14:val="tx1"/>
            </w14:solidFill>
          </w14:textFill>
        </w:rPr>
        <w:t>（类）</w:t>
      </w:r>
      <w:r>
        <w:rPr>
          <w:rFonts w:ascii="仿宋_GB2312" w:hAnsi="仿宋_GB2312" w:eastAsia="仿宋_GB2312" w:cs="仿宋_GB2312"/>
          <w:color w:val="000000"/>
          <w:sz w:val="32"/>
          <w:u w:color="auto"/>
        </w:rPr>
        <w:t>131866.49</w:t>
      </w:r>
      <w:r>
        <w:rPr>
          <w:rFonts w:hint="eastAsia" w:ascii="仿宋_GB2312" w:hAnsi="Times New Roman" w:eastAsia="仿宋_GB2312" w:cs="Times New Roman"/>
          <w:color w:val="000000" w:themeColor="text1"/>
          <w:sz w:val="32"/>
          <w:szCs w:val="32"/>
          <w14:textFill>
            <w14:solidFill>
              <w14:schemeClr w14:val="tx1"/>
            </w14:solidFill>
          </w14:textFill>
        </w:rPr>
        <w:t>万元，主要用于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u w:color="auto"/>
          <w:lang w:val="en-US" w:eastAsia="zh-CN"/>
        </w:rPr>
        <w:t>医院正常运 转的基本支出以及开展业务工作的支出和基础设施建设、设备购置等支出。</w:t>
      </w:r>
      <w:r>
        <w:rPr>
          <w:rFonts w:hint="eastAsia" w:ascii="仿宋_GB2312" w:hAnsi="仿宋_GB2312" w:eastAsia="仿宋_GB2312" w:cs="仿宋_GB2312"/>
          <w:color w:val="000000"/>
          <w:sz w:val="32"/>
          <w:u w:color="auto"/>
        </w:rPr>
        <w:t>较2021年决算</w:t>
      </w:r>
      <w:r>
        <w:rPr>
          <w:rFonts w:hint="eastAsia" w:ascii="仿宋_GB2312" w:hAnsi="仿宋_GB2312" w:eastAsia="仿宋_GB2312" w:cs="仿宋_GB2312"/>
          <w:color w:val="000000"/>
          <w:sz w:val="32"/>
          <w:u w:color="auto"/>
          <w:lang w:val="en-US" w:eastAsia="zh-CN"/>
        </w:rPr>
        <w:t>数</w:t>
      </w:r>
      <w:r>
        <w:rPr>
          <w:rFonts w:hint="eastAsia" w:ascii="仿宋_GB2312" w:hAnsi="Times New Roman" w:eastAsia="仿宋_GB2312" w:cs="Times New Roman"/>
          <w:color w:val="000000" w:themeColor="text1"/>
          <w:sz w:val="32"/>
          <w:szCs w:val="32"/>
          <w14:textFill>
            <w14:solidFill>
              <w14:schemeClr w14:val="tx1"/>
            </w14:solidFill>
          </w14:textFill>
        </w:rPr>
        <w:t>127114.96万元</w:t>
      </w:r>
      <w:r>
        <w:rPr>
          <w:rFonts w:ascii="仿宋_GB2312" w:hAnsi="仿宋_GB2312" w:eastAsia="仿宋_GB2312" w:cs="仿宋_GB2312"/>
          <w:color w:val="000000"/>
          <w:sz w:val="32"/>
          <w:u w:color="auto"/>
        </w:rPr>
        <w:t>增加4751.53万元，增长3.74%，</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w:t>
      </w:r>
      <w:r>
        <w:rPr>
          <w:rFonts w:hint="eastAsia" w:ascii="仿宋_GB2312" w:hAnsi="Times New Roman" w:eastAsia="仿宋_GB2312" w:cs="Times New Roman"/>
          <w:color w:val="auto"/>
          <w:sz w:val="32"/>
          <w:szCs w:val="32"/>
          <w:lang w:val="en-US" w:eastAsia="zh-CN"/>
        </w:rPr>
        <w:t>以及医疗集团建设的投入，业务量增加，药品、卫生材料、人员经费等增加。</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w:t>
      </w:r>
      <w:r>
        <w:rPr>
          <w:rFonts w:ascii="仿宋_GB2312" w:hAnsi="仿宋_GB2312" w:eastAsia="仿宋_GB2312" w:cs="仿宋_GB2312"/>
          <w:color w:val="000000"/>
          <w:sz w:val="32"/>
          <w:u w:color="auto"/>
        </w:rPr>
        <w:t>.金融支出</w:t>
      </w:r>
      <w:r>
        <w:rPr>
          <w:rFonts w:hint="eastAsia" w:ascii="仿宋_GB2312" w:hAnsi="Times New Roman" w:eastAsia="仿宋_GB2312" w:cs="Times New Roman"/>
          <w:color w:val="000000" w:themeColor="text1"/>
          <w:sz w:val="32"/>
          <w:szCs w:val="32"/>
          <w14:textFill>
            <w14:solidFill>
              <w14:schemeClr w14:val="tx1"/>
            </w14:solidFill>
          </w14:textFill>
        </w:rPr>
        <w:t>（类）</w:t>
      </w:r>
      <w:r>
        <w:rPr>
          <w:rFonts w:ascii="仿宋_GB2312" w:hAnsi="仿宋_GB2312" w:eastAsia="仿宋_GB2312" w:cs="仿宋_GB2312"/>
          <w:color w:val="000000"/>
          <w:sz w:val="32"/>
          <w:u w:color="auto"/>
        </w:rPr>
        <w:t>11.94</w:t>
      </w:r>
      <w:r>
        <w:rPr>
          <w:rFonts w:hint="eastAsia" w:ascii="仿宋_GB2312" w:hAnsi="Times New Roman" w:eastAsia="仿宋_GB2312" w:cs="Times New Roman"/>
          <w:color w:val="000000" w:themeColor="text1"/>
          <w:sz w:val="32"/>
          <w:szCs w:val="32"/>
          <w14:textFill>
            <w14:solidFill>
              <w14:schemeClr w14:val="tx1"/>
            </w14:solidFill>
          </w14:textFill>
        </w:rPr>
        <w:t>万元，主要</w:t>
      </w:r>
      <w:r>
        <w:rPr>
          <w:rFonts w:hint="eastAsia" w:ascii="仿宋_GB2312" w:hAnsi="Times New Roman" w:eastAsia="仿宋_GB2312" w:cs="Times New Roman"/>
          <w:color w:val="auto"/>
          <w:sz w:val="32"/>
          <w:szCs w:val="32"/>
        </w:rPr>
        <w:t>用于</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相思湖医院PPP项目支出</w:t>
      </w:r>
      <w:r>
        <w:rPr>
          <w:rFonts w:hint="eastAsia" w:ascii="仿宋_GB2312" w:hAnsi="Times New Roman" w:eastAsia="仿宋_GB2312" w:cs="Times New Roman"/>
          <w:color w:val="000000" w:themeColor="text1"/>
          <w:sz w:val="32"/>
          <w:szCs w:val="32"/>
          <w14:textFill>
            <w14:solidFill>
              <w14:schemeClr w14:val="tx1"/>
            </w14:solidFill>
          </w14:textFill>
        </w:rPr>
        <w:t>，较2021年决算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数</w:t>
      </w:r>
      <w:r>
        <w:rPr>
          <w:rFonts w:hint="eastAsia" w:ascii="仿宋_GB2312" w:hAnsi="Times New Roman" w:eastAsia="仿宋_GB2312" w:cs="Times New Roman"/>
          <w:color w:val="000000" w:themeColor="text1"/>
          <w:sz w:val="32"/>
          <w:szCs w:val="32"/>
          <w14:textFill>
            <w14:solidFill>
              <w14:schemeClr w14:val="tx1"/>
            </w14:solidFill>
          </w14:textFill>
        </w:rPr>
        <w:t>0.00万元增加11.94万元，增长100%，</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主要原因是：2022年新增相思湖医院PPP项目支出。</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4</w:t>
      </w:r>
      <w:r>
        <w:rPr>
          <w:rFonts w:ascii="仿宋_GB2312" w:hAnsi="仿宋_GB2312" w:eastAsia="仿宋_GB2312" w:cs="仿宋_GB2312"/>
          <w:color w:val="000000"/>
          <w:sz w:val="32"/>
          <w:u w:color="auto"/>
        </w:rPr>
        <w:t>.住房保障支出</w:t>
      </w:r>
      <w:r>
        <w:rPr>
          <w:rFonts w:hint="eastAsia" w:ascii="仿宋_GB2312" w:hAnsi="Times New Roman" w:eastAsia="仿宋_GB2312" w:cs="Times New Roman"/>
          <w:color w:val="000000" w:themeColor="text1"/>
          <w:sz w:val="32"/>
          <w:szCs w:val="32"/>
          <w14:textFill>
            <w14:solidFill>
              <w14:schemeClr w14:val="tx1"/>
            </w14:solidFill>
          </w14:textFill>
        </w:rPr>
        <w:t>（类）</w:t>
      </w:r>
      <w:r>
        <w:rPr>
          <w:rFonts w:ascii="仿宋_GB2312" w:hAnsi="仿宋_GB2312" w:eastAsia="仿宋_GB2312" w:cs="仿宋_GB2312"/>
          <w:color w:val="000000"/>
          <w:sz w:val="32"/>
          <w:u w:color="auto"/>
        </w:rPr>
        <w:t>5250.91</w:t>
      </w:r>
      <w:r>
        <w:rPr>
          <w:rFonts w:hint="eastAsia" w:ascii="仿宋_GB2312" w:hAnsi="Times New Roman" w:eastAsia="仿宋_GB2312" w:cs="Times New Roman"/>
          <w:color w:val="000000" w:themeColor="text1"/>
          <w:sz w:val="32"/>
          <w:szCs w:val="32"/>
          <w14:textFill>
            <w14:solidFill>
              <w14:schemeClr w14:val="tx1"/>
            </w14:solidFill>
          </w14:textFill>
        </w:rPr>
        <w:t>万元，主要用于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auto"/>
          <w:sz w:val="32"/>
          <w:szCs w:val="32"/>
          <w:lang w:val="en-US" w:eastAsia="zh-CN"/>
        </w:rPr>
        <w:t>按照国家政策规定向职工发放的住房公积金、提租补贴、购房补贴等住房改革方面的支出。</w:t>
      </w:r>
      <w:r>
        <w:rPr>
          <w:rFonts w:hint="eastAsia" w:ascii="仿宋_GB2312" w:hAnsi="Times New Roman" w:eastAsia="仿宋_GB2312" w:cs="Times New Roman"/>
          <w:color w:val="000000" w:themeColor="text1"/>
          <w:sz w:val="32"/>
          <w:szCs w:val="32"/>
          <w14:textFill>
            <w14:solidFill>
              <w14:schemeClr w14:val="tx1"/>
            </w14:solidFill>
          </w14:textFill>
        </w:rPr>
        <w:t>较2021年决算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数</w:t>
      </w:r>
      <w:r>
        <w:rPr>
          <w:rFonts w:hint="eastAsia" w:ascii="仿宋_GB2312" w:hAnsi="Times New Roman" w:eastAsia="仿宋_GB2312" w:cs="Times New Roman"/>
          <w:color w:val="000000" w:themeColor="text1"/>
          <w:sz w:val="32"/>
          <w:szCs w:val="32"/>
          <w14:textFill>
            <w14:solidFill>
              <w14:schemeClr w14:val="tx1"/>
            </w14:solidFill>
          </w14:textFill>
        </w:rPr>
        <w:t>5175.24万元</w:t>
      </w:r>
      <w:r>
        <w:rPr>
          <w:rFonts w:ascii="仿宋_GB2312" w:hAnsi="仿宋_GB2312" w:eastAsia="仿宋_GB2312" w:cs="仿宋_GB2312"/>
          <w:color w:val="000000"/>
          <w:sz w:val="32"/>
          <w:u w:color="auto"/>
        </w:rPr>
        <w:t>增加75.67万元，增长1.46%，</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w:t>
      </w:r>
      <w:r>
        <w:rPr>
          <w:rFonts w:hint="eastAsia" w:ascii="仿宋_GB2312" w:hAnsi="Times New Roman" w:eastAsia="仿宋_GB2312" w:cs="Times New Roman"/>
          <w:color w:val="auto"/>
          <w:sz w:val="32"/>
          <w:szCs w:val="32"/>
          <w:lang w:val="en-US" w:eastAsia="zh-CN"/>
        </w:rPr>
        <w:t>：职工人数及住房公积金缴纳基数调整，支出略有增加。</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结余分配</w:t>
      </w:r>
      <w:r>
        <w:rPr>
          <w:rFonts w:ascii="仿宋_GB2312" w:hAnsi="仿宋_GB2312" w:eastAsia="仿宋_GB2312" w:cs="仿宋_GB2312"/>
          <w:color w:val="000000"/>
          <w:sz w:val="32"/>
          <w:u w:color="auto"/>
        </w:rPr>
        <w:t>541.30万元，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指</w:t>
      </w:r>
      <w:r>
        <w:rPr>
          <w:rFonts w:hint="eastAsia" w:ascii="仿宋_GB2312" w:hAnsi="Times New Roman" w:eastAsia="仿宋_GB2312" w:cs="Times New Roman"/>
          <w:color w:val="000000" w:themeColor="text1"/>
          <w:sz w:val="32"/>
          <w:szCs w:val="32"/>
          <w14:textFill>
            <w14:solidFill>
              <w14:schemeClr w14:val="tx1"/>
            </w14:solidFill>
          </w14:textFill>
        </w:rPr>
        <w:t>事业单位按</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会计制度</w:t>
      </w:r>
      <w:r>
        <w:rPr>
          <w:rFonts w:hint="eastAsia" w:ascii="仿宋_GB2312" w:hAnsi="Times New Roman" w:eastAsia="仿宋_GB2312" w:cs="Times New Roman"/>
          <w:color w:val="000000" w:themeColor="text1"/>
          <w:sz w:val="32"/>
          <w:szCs w:val="32"/>
          <w14:textFill>
            <w14:solidFill>
              <w14:schemeClr w14:val="tx1"/>
            </w14:solidFill>
          </w14:textFill>
        </w:rPr>
        <w:t>规定</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缴纳</w:t>
      </w:r>
      <w:r>
        <w:rPr>
          <w:rFonts w:hint="eastAsia" w:ascii="仿宋_GB2312" w:hAnsi="Times New Roman" w:eastAsia="仿宋_GB2312" w:cs="Times New Roman"/>
          <w:color w:val="000000" w:themeColor="text1"/>
          <w:sz w:val="32"/>
          <w:szCs w:val="32"/>
          <w14:textFill>
            <w14:solidFill>
              <w14:schemeClr w14:val="tx1"/>
            </w14:solidFill>
          </w14:textFill>
        </w:rPr>
        <w:t>的</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所得税、提取的</w:t>
      </w:r>
      <w:r>
        <w:rPr>
          <w:rFonts w:hint="eastAsia" w:ascii="仿宋_GB2312" w:hAnsi="Times New Roman" w:eastAsia="仿宋_GB2312" w:cs="Times New Roman"/>
          <w:color w:val="000000" w:themeColor="text1"/>
          <w:sz w:val="32"/>
          <w:szCs w:val="32"/>
          <w14:textFill>
            <w14:solidFill>
              <w14:schemeClr w14:val="tx1"/>
            </w14:solidFill>
          </w14:textFill>
        </w:rPr>
        <w:t>专用结余</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以及</w:t>
      </w:r>
      <w:r>
        <w:rPr>
          <w:rFonts w:hint="eastAsia" w:ascii="仿宋_GB2312" w:hAnsi="Times New Roman" w:eastAsia="仿宋_GB2312" w:cs="Times New Roman"/>
          <w:color w:val="000000" w:themeColor="text1"/>
          <w:sz w:val="32"/>
          <w:szCs w:val="32"/>
          <w14:textFill>
            <w14:solidFill>
              <w14:schemeClr w14:val="tx1"/>
            </w14:solidFill>
          </w14:textFill>
        </w:rPr>
        <w:t>转入非财政拨款结余等。较2021年决算</w:t>
      </w:r>
      <w:r>
        <w:rPr>
          <w:rFonts w:ascii="仿宋_GB2312" w:hAnsi="仿宋_GB2312" w:eastAsia="仿宋_GB2312" w:cs="仿宋_GB2312"/>
          <w:color w:val="000000"/>
          <w:sz w:val="32"/>
          <w:u w:color="auto"/>
        </w:rPr>
        <w:t>2857.16万元减少2315.86万元，下降81.05%，</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w:t>
      </w:r>
      <w:r>
        <w:rPr>
          <w:rFonts w:hint="eastAsia" w:ascii="仿宋_GB2312" w:hAnsi="Times New Roman" w:eastAsia="仿宋_GB2312" w:cs="Times New Roman"/>
          <w:color w:val="000000" w:themeColor="text1"/>
          <w:sz w:val="32"/>
          <w:szCs w:val="32"/>
          <w14:textFill>
            <w14:solidFill>
              <w14:schemeClr w14:val="tx1"/>
            </w14:solidFill>
          </w14:textFill>
        </w:rPr>
        <w:t>医技综合楼、青秀分院、羁押中心投入使用，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成本支出增长较大</w:t>
      </w:r>
      <w:r>
        <w:rPr>
          <w:rFonts w:hint="eastAsia" w:ascii="仿宋_GB2312"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仿宋_GB2312" w:eastAsia="仿宋_GB2312" w:cs="仿宋_GB2312"/>
          <w:color w:val="000000"/>
          <w:sz w:val="32"/>
          <w:u w:color="auto"/>
        </w:rPr>
      </w:pPr>
      <w:r>
        <w:rPr>
          <w:rFonts w:hint="eastAsia" w:ascii="仿宋_GB2312" w:hAnsi="Times New Roman" w:eastAsia="仿宋_GB2312" w:cs="Times New Roman"/>
          <w:color w:val="000000" w:themeColor="text1"/>
          <w:sz w:val="32"/>
          <w:szCs w:val="32"/>
          <w14:textFill>
            <w14:solidFill>
              <w14:schemeClr w14:val="tx1"/>
            </w14:solidFill>
          </w14:textFill>
        </w:rPr>
        <w:t>年末结转和结余</w:t>
      </w:r>
      <w:r>
        <w:rPr>
          <w:rFonts w:ascii="仿宋_GB2312" w:hAnsi="仿宋_GB2312" w:eastAsia="仿宋_GB2312" w:cs="仿宋_GB2312"/>
          <w:color w:val="000000"/>
          <w:sz w:val="32"/>
          <w:u w:color="auto"/>
        </w:rPr>
        <w:t>548.81万元，指单位按有关规定结转到下年或者以后年度继续使用的资金，或项目已完成等产生的结余资金。较2021年决算776.54万元减少227.73万元，下降29.33%，</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主要原因是：</w:t>
      </w:r>
      <w:r>
        <w:rPr>
          <w:rFonts w:hint="eastAsia" w:ascii="仿宋_GB2312" w:hAnsi="仿宋_GB2312" w:eastAsia="仿宋_GB2312" w:cs="仿宋_GB2312"/>
          <w:color w:val="000000"/>
          <w:sz w:val="32"/>
          <w:u w:color="auto"/>
          <w:lang w:eastAsia="zh-CN"/>
        </w:rPr>
        <w:t>科研课题经费开支增加，结余减少</w:t>
      </w:r>
      <w:r>
        <w:rPr>
          <w:rFonts w:hint="eastAsia" w:ascii="仿宋_GB2312" w:hAnsi="仿宋_GB2312" w:eastAsia="仿宋_GB2312" w:cs="仿宋_GB2312"/>
          <w:color w:val="000000"/>
          <w:sz w:val="32"/>
          <w:u w:color="auto"/>
        </w:rPr>
        <w:t>。</w:t>
      </w:r>
    </w:p>
    <w:p>
      <w:pPr>
        <w:pStyle w:val="6"/>
        <w:keepNext w:val="0"/>
        <w:keepLines w:val="0"/>
        <w:pageBreakBefore w:val="0"/>
        <w:widowControl/>
        <w:kinsoku/>
        <w:wordWrap/>
        <w:overflowPunct/>
        <w:topLinePunct w:val="0"/>
        <w:autoSpaceDE/>
        <w:autoSpaceDN/>
        <w:bidi w:val="0"/>
        <w:adjustRightInd/>
        <w:snapToGrid/>
        <w:spacing w:before="240" w:beforeAutospacing="0" w:after="240" w:afterAutospacing="0" w:line="240" w:lineRule="auto"/>
        <w:ind w:firstLine="646"/>
        <w:jc w:val="both"/>
        <w:textAlignment w:val="auto"/>
        <w:rPr>
          <w:rFonts w:ascii="仿宋_GB2312" w:hAnsi="微软雅黑" w:eastAsia="仿宋_GB2312" w:cs="仿宋_GB2312"/>
          <w:color w:val="000000"/>
          <w:sz w:val="31"/>
          <w:szCs w:val="31"/>
          <w:u w:val="single"/>
          <w:shd w:val="clear" w:color="auto" w:fill="FFFFFF"/>
        </w:rPr>
      </w:pPr>
      <w:r>
        <w:rPr>
          <w:rFonts w:hint="eastAsia" w:ascii="黑体" w:hAnsi="宋体" w:eastAsia="黑体" w:cs="黑体"/>
          <w:color w:val="000000"/>
          <w:sz w:val="32"/>
          <w:szCs w:val="32"/>
          <w:shd w:val="clear" w:color="auto" w:fill="FFFFFF"/>
        </w:rPr>
        <w:t>二、2022年度一般公共预算财政拨款支出决算情况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left="309" w:leftChars="147"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南宁市第一人民医院</w:t>
      </w:r>
      <w:r>
        <w:rPr>
          <w:rFonts w:ascii="仿宋_GB2312" w:hAnsi="仿宋_GB2312" w:eastAsia="仿宋_GB2312" w:cs="仿宋_GB2312"/>
          <w:color w:val="000000"/>
          <w:sz w:val="32"/>
          <w:u w:color="auto"/>
        </w:rPr>
        <w:t>2022年度一般公共预算财政拨款支出8979.51万元，较2021年度决算数9391.14万元，减少411.63万元，下降4.38%。其中：基本支出668.63万元，项目支出8310.88万元。</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3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南宁</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市第一人民医院</w:t>
      </w:r>
      <w:r>
        <w:rPr>
          <w:rFonts w:ascii="仿宋_GB2312" w:hAnsi="仿宋_GB2312" w:eastAsia="仿宋_GB2312" w:cs="仿宋_GB2312"/>
          <w:color w:val="000000"/>
          <w:sz w:val="32"/>
          <w:highlight w:val="none"/>
          <w:u w:color="auto"/>
        </w:rPr>
        <w:t>2022年度一般公共预算财政拨款支出</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年初预算为47</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24.17</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万元，支出决算为</w:t>
      </w:r>
      <w:r>
        <w:rPr>
          <w:rFonts w:ascii="仿宋_GB2312" w:hAnsi="仿宋_GB2312" w:eastAsia="仿宋_GB2312" w:cs="仿宋_GB2312"/>
          <w:color w:val="000000"/>
          <w:sz w:val="32"/>
          <w:highlight w:val="none"/>
          <w:u w:color="auto"/>
        </w:rPr>
        <w:t>8979.51万元，</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完成年初预算的</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190.08</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1)社会保障和就业支出（类）人力资源和社会保障管理事务（款）其他人力资源和社会保障管理事务支出（项）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0.00</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4.24万元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2022年南宁市卫生高层次人才（学科带头人）培养项目资助经费。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2)社会保障和就业支出（类）行政事业单位养老支出（款）事业单位离退休（项）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148.49</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万元，支出决算为</w:t>
      </w:r>
      <w:r>
        <w:rPr>
          <w:rFonts w:ascii="仿宋_GB2312" w:hAnsi="仿宋_GB2312" w:eastAsia="仿宋_GB2312" w:cs="仿宋_GB2312"/>
          <w:color w:val="000000"/>
          <w:sz w:val="32"/>
          <w:highlight w:val="none"/>
          <w:u w:color="auto"/>
        </w:rPr>
        <w:t>158.27万元，</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完成年初预算的</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106.59</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为按国家规定发放的离退休人员工资、津补贴及离退休人员管理方面的支出等项目</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，形成预决算差异的原因是：</w:t>
      </w:r>
      <w:r>
        <w:rPr>
          <w:rFonts w:hint="eastAsia" w:ascii="仿宋_GB2312" w:hAnsi="Times New Roman" w:eastAsia="仿宋_GB2312" w:cs="Times New Roman"/>
          <w:color w:val="auto"/>
          <w:kern w:val="2"/>
          <w:sz w:val="32"/>
          <w:szCs w:val="32"/>
          <w:lang w:val="en-US" w:eastAsia="zh-CN" w:bidi="ar-SA"/>
        </w:rPr>
        <w:t>2022年补发退休人员养老金。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3)社会保障和就业支出（类）抚恤（款）死亡抚恤（项）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0.00</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万元，支</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出决算为</w:t>
      </w:r>
      <w:r>
        <w:rPr>
          <w:rFonts w:ascii="仿宋_GB2312" w:hAnsi="仿宋_GB2312" w:eastAsia="仿宋_GB2312" w:cs="仿宋_GB2312"/>
          <w:color w:val="000000"/>
          <w:sz w:val="32"/>
          <w:u w:color="auto"/>
        </w:rPr>
        <w:t>110.87万元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FF0000"/>
          <w:kern w:val="2"/>
          <w:sz w:val="32"/>
          <w:szCs w:val="32"/>
          <w:lang w:val="en-US" w:eastAsia="zh-CN" w:bidi="ar-SA"/>
        </w:rPr>
        <w:t xml:space="preserve"> </w:t>
      </w:r>
      <w:r>
        <w:rPr>
          <w:rFonts w:hint="eastAsia" w:ascii="仿宋_GB2312" w:hAnsi="Times New Roman" w:eastAsia="仿宋_GB2312" w:cs="Times New Roman"/>
          <w:color w:val="auto"/>
          <w:kern w:val="2"/>
          <w:sz w:val="32"/>
          <w:szCs w:val="32"/>
          <w:lang w:val="en-US" w:eastAsia="zh-CN" w:bidi="ar-SA"/>
        </w:rPr>
        <w:t>2022年丧葬费和一次性抚恤金等经费支出</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等项目，形成预决算差异的原因是：</w:t>
      </w:r>
      <w:r>
        <w:rPr>
          <w:rFonts w:hint="eastAsia" w:ascii="仿宋_GB2312" w:hAnsi="Times New Roman" w:eastAsia="仿宋_GB2312" w:cs="Times New Roman"/>
          <w:color w:val="auto"/>
          <w:kern w:val="2"/>
          <w:sz w:val="32"/>
          <w:szCs w:val="32"/>
          <w:lang w:val="en-US" w:eastAsia="zh-CN" w:bidi="ar-SA"/>
        </w:rPr>
        <w:t>丧葬费和一次性抚恤金在实际发生时追加，不纳入年初预算。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4)卫生健康支出（类）公立医院（款）综合医院（项）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4121.00</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万元，支出决算为</w:t>
      </w:r>
      <w:r>
        <w:rPr>
          <w:rFonts w:ascii="仿宋_GB2312" w:hAnsi="仿宋_GB2312" w:eastAsia="仿宋_GB2312" w:cs="仿宋_GB2312"/>
          <w:color w:val="000000"/>
          <w:sz w:val="32"/>
          <w:highlight w:val="none"/>
          <w:u w:color="auto"/>
        </w:rPr>
        <w:t>5606.14万元，</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完成年初预算的</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136.04</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医疗护理实习生培训项目、房屋建筑物维修项目、联兴分院设备采购及运营经费等项目</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，形成预决算差异的原因是：以奖代补资金、取消药品加成补助、高质量发展项目经费等均为年中追加项目</w:t>
      </w:r>
      <w:r>
        <w:rPr>
          <w:rFonts w:hint="eastAsia" w:ascii="仿宋_GB2312" w:hAnsi="Times New Roman" w:eastAsia="仿宋_GB2312" w:cs="Times New Roman"/>
          <w:color w:val="auto"/>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5)卫生健康支出（类）公共卫生（款）基本公共卫生服务（项）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0.00</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20.02万元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中央和自治区财政基本公共卫生服务项目补助资金医养结合项目</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，形成预决算差异的原因是：</w:t>
      </w:r>
      <w:r>
        <w:rPr>
          <w:rFonts w:hint="eastAsia" w:ascii="仿宋_GB2312" w:hAnsi="Times New Roman" w:eastAsia="仿宋_GB2312" w:cs="Times New Roman"/>
          <w:color w:val="auto"/>
          <w:kern w:val="2"/>
          <w:sz w:val="32"/>
          <w:szCs w:val="32"/>
          <w:lang w:val="en-US" w:eastAsia="zh-CN" w:bidi="ar-SA"/>
        </w:rPr>
        <w:t>中央和自治区财政基本公共卫生服务项目补助资金医养结合项目为年中追加项目。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6)卫生健康支出（类）公共卫生（款）重大公共卫生服务（项）</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年初预算为0.00万元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60.93万元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中央财政重大传染病防控补助资金的结核病防治</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等项目，形成预决算差异的原因是：</w:t>
      </w:r>
      <w:r>
        <w:rPr>
          <w:rFonts w:hint="eastAsia" w:ascii="仿宋_GB2312" w:hAnsi="Times New Roman" w:eastAsia="仿宋_GB2312" w:cs="Times New Roman"/>
          <w:color w:val="auto"/>
          <w:kern w:val="2"/>
          <w:sz w:val="32"/>
          <w:szCs w:val="32"/>
          <w:lang w:val="en-US" w:eastAsia="zh-CN" w:bidi="ar-SA"/>
        </w:rPr>
        <w:t>中央财政重大传染病防控补助资金的结核病防治项目为年中追加项目。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7)卫生健康支出（类）公共卫生（款）突发公共卫生事件应急处理（项）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0.00万</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1255.15万元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疫情防控和疫情补助等项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目，形成预决算差异的原因是：</w:t>
      </w:r>
      <w:r>
        <w:rPr>
          <w:rFonts w:hint="eastAsia" w:ascii="仿宋_GB2312" w:hAnsi="Times New Roman" w:eastAsia="仿宋_GB2312" w:cs="Times New Roman"/>
          <w:color w:val="auto"/>
          <w:kern w:val="2"/>
          <w:sz w:val="32"/>
          <w:szCs w:val="32"/>
          <w:lang w:val="en-US" w:eastAsia="zh-CN" w:bidi="ar-SA"/>
        </w:rPr>
        <w:t>疫情防控资金、疫情防控补助等疫情项目经费为年中追加项目。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8)卫生健康支出（类）公共卫生（款）其他公共卫生支出（项）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年初预算为</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0.00</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万元，支</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出决算为</w:t>
      </w:r>
      <w:r>
        <w:rPr>
          <w:rFonts w:ascii="仿宋_GB2312" w:hAnsi="仿宋_GB2312" w:eastAsia="仿宋_GB2312" w:cs="仿宋_GB2312"/>
          <w:color w:val="000000"/>
          <w:sz w:val="32"/>
          <w:u w:color="auto"/>
        </w:rPr>
        <w:t>2.50万元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2022年市本级财政食品安全风险监测及风险评估项目工作经费项目</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，形成预决算差异的原因是：</w:t>
      </w:r>
      <w:r>
        <w:rPr>
          <w:rFonts w:hint="eastAsia" w:ascii="仿宋_GB2312" w:hAnsi="Times New Roman" w:eastAsia="仿宋_GB2312" w:cs="Times New Roman"/>
          <w:color w:val="auto"/>
          <w:kern w:val="2"/>
          <w:sz w:val="32"/>
          <w:szCs w:val="32"/>
          <w:lang w:val="en-US" w:eastAsia="zh-CN" w:bidi="ar-SA"/>
        </w:rPr>
        <w:t>食品安全风险监测及风险评估项目工作经费为年中追加项目。</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9)卫生健康支出（类）中医药（款）中医（民族医）药专项（项）</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年初预算为0.00万元，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4.24万元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中央和自治区财政医疗服务与保障能力提升补助资金的中医药事业传承与发展等</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项目，形成预决算差异的原因是：</w:t>
      </w:r>
      <w:r>
        <w:rPr>
          <w:rFonts w:hint="eastAsia" w:ascii="仿宋_GB2312" w:hAnsi="Times New Roman" w:eastAsia="仿宋_GB2312" w:cs="Times New Roman"/>
          <w:color w:val="auto"/>
          <w:kern w:val="2"/>
          <w:sz w:val="32"/>
          <w:szCs w:val="32"/>
          <w:lang w:val="en-US" w:eastAsia="zh-CN" w:bidi="ar-SA"/>
        </w:rPr>
        <w:t>中央和自治区财政医疗服务与保障能力提升补助资金中医药事业传承与发展经费为年中追加项目。</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10)卫生健康支出（类）行政事业单位医疗（款）事业单位医疗（项）</w:t>
      </w:r>
      <w:r>
        <w:rPr>
          <w:rFonts w:hint="eastAsia" w:ascii="仿宋_GB2312" w:hAnsi="Times New Roman" w:eastAsia="仿宋_GB2312" w:cs="Times New Roman"/>
          <w:color w:val="auto"/>
          <w:kern w:val="2"/>
          <w:sz w:val="32"/>
          <w:szCs w:val="32"/>
          <w:highlight w:val="none"/>
          <w:lang w:val="en-US" w:eastAsia="zh-CN" w:bidi="ar-SA"/>
        </w:rPr>
        <w:t>年初预算为</w:t>
      </w:r>
      <w:r>
        <w:rPr>
          <w:rFonts w:hint="eastAsia" w:ascii="仿宋_GB2312" w:hAnsi="Times New Roman" w:eastAsia="仿宋_GB2312" w:cs="Times New Roman"/>
          <w:color w:val="auto"/>
          <w:kern w:val="2"/>
          <w:sz w:val="32"/>
          <w:szCs w:val="32"/>
          <w:highlight w:val="none"/>
          <w:u w:val="none"/>
          <w:lang w:val="en-US" w:eastAsia="zh-CN" w:bidi="ar-SA"/>
        </w:rPr>
        <w:t>454.68万</w:t>
      </w:r>
      <w:r>
        <w:rPr>
          <w:rFonts w:hint="eastAsia" w:ascii="仿宋_GB2312" w:hAnsi="Times New Roman" w:eastAsia="仿宋_GB2312" w:cs="Times New Roman"/>
          <w:color w:val="auto"/>
          <w:kern w:val="2"/>
          <w:sz w:val="32"/>
          <w:szCs w:val="32"/>
          <w:highlight w:val="none"/>
          <w:lang w:val="en-US" w:eastAsia="zh-CN" w:bidi="ar-SA"/>
        </w:rPr>
        <w:t>元，支出决算为</w:t>
      </w:r>
      <w:r>
        <w:rPr>
          <w:rFonts w:ascii="仿宋_GB2312" w:hAnsi="仿宋_GB2312" w:eastAsia="仿宋_GB2312" w:cs="仿宋_GB2312"/>
          <w:color w:val="auto"/>
          <w:sz w:val="32"/>
          <w:highlight w:val="none"/>
          <w:u w:color="auto"/>
        </w:rPr>
        <w:t>454.68万元，</w:t>
      </w:r>
      <w:r>
        <w:rPr>
          <w:rFonts w:hint="eastAsia" w:ascii="仿宋_GB2312" w:hAnsi="Times New Roman" w:eastAsia="仿宋_GB2312" w:cs="Times New Roman"/>
          <w:color w:val="auto"/>
          <w:kern w:val="2"/>
          <w:sz w:val="32"/>
          <w:szCs w:val="32"/>
          <w:highlight w:val="none"/>
          <w:lang w:val="en-US" w:eastAsia="zh-CN" w:bidi="ar-SA"/>
        </w:rPr>
        <w:t>完成年初预算的</w:t>
      </w:r>
      <w:r>
        <w:rPr>
          <w:rFonts w:hint="eastAsia" w:ascii="仿宋_GB2312" w:hAnsi="Times New Roman" w:eastAsia="仿宋_GB2312" w:cs="Times New Roman"/>
          <w:color w:val="auto"/>
          <w:kern w:val="2"/>
          <w:sz w:val="32"/>
          <w:szCs w:val="32"/>
          <w:highlight w:val="none"/>
          <w:u w:val="none"/>
          <w:lang w:val="en-US" w:eastAsia="zh-CN" w:bidi="ar-SA"/>
        </w:rPr>
        <w:t>100.00%</w:t>
      </w:r>
      <w:r>
        <w:rPr>
          <w:rFonts w:hint="eastAsia" w:ascii="仿宋_GB2312" w:hAnsi="Times New Roman" w:eastAsia="仿宋_GB2312" w:cs="Times New Roman"/>
          <w:color w:val="auto"/>
          <w:kern w:val="2"/>
          <w:sz w:val="32"/>
          <w:szCs w:val="32"/>
          <w:highlight w:val="none"/>
          <w:lang w:val="en-US" w:eastAsia="zh-CN" w:bidi="ar-SA"/>
        </w:rPr>
        <w:t>。主要用于医院为职工缴纳的基本医疗保险经费等项目，形成预决算差异的原因是：医疗保险已全部支出，所以未形成预决算差异。</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w:t>
      </w:r>
      <w:r>
        <w:rPr>
          <w:rFonts w:ascii="仿宋_GB2312" w:hAnsi="仿宋_GB2312" w:eastAsia="仿宋_GB2312" w:cs="仿宋_GB2312"/>
          <w:color w:val="auto"/>
          <w:sz w:val="32"/>
          <w:highlight w:val="none"/>
          <w:u w:color="auto"/>
        </w:rPr>
        <w:t>11)卫生健康支出（类）其他卫生健康支出（款）其他卫生健康支出（项）</w:t>
      </w:r>
      <w:r>
        <w:rPr>
          <w:rFonts w:hint="eastAsia" w:ascii="仿宋_GB2312" w:hAnsi="Times New Roman" w:eastAsia="仿宋_GB2312" w:cs="Times New Roman"/>
          <w:color w:val="auto"/>
          <w:kern w:val="2"/>
          <w:sz w:val="32"/>
          <w:szCs w:val="32"/>
          <w:highlight w:val="none"/>
          <w:lang w:val="en-US" w:eastAsia="zh-CN" w:bidi="ar-SA"/>
        </w:rPr>
        <w:t>年初预算为</w:t>
      </w:r>
      <w:r>
        <w:rPr>
          <w:rFonts w:hint="eastAsia" w:ascii="仿宋_GB2312" w:hAnsi="Times New Roman" w:eastAsia="仿宋_GB2312" w:cs="Times New Roman"/>
          <w:color w:val="auto"/>
          <w:kern w:val="2"/>
          <w:sz w:val="32"/>
          <w:szCs w:val="32"/>
          <w:highlight w:val="none"/>
          <w:u w:val="none"/>
          <w:lang w:val="en-US" w:eastAsia="zh-CN" w:bidi="ar-SA"/>
        </w:rPr>
        <w:t>0.00</w:t>
      </w:r>
      <w:r>
        <w:rPr>
          <w:rFonts w:hint="eastAsia" w:ascii="仿宋_GB2312" w:hAnsi="Times New Roman" w:eastAsia="仿宋_GB2312" w:cs="Times New Roman"/>
          <w:color w:val="auto"/>
          <w:kern w:val="2"/>
          <w:sz w:val="32"/>
          <w:szCs w:val="32"/>
          <w:highlight w:val="none"/>
          <w:lang w:val="en-US" w:eastAsia="zh-CN" w:bidi="ar-SA"/>
        </w:rPr>
        <w:t>万元，支出决算为</w:t>
      </w:r>
      <w:r>
        <w:rPr>
          <w:rFonts w:ascii="仿宋_GB2312" w:hAnsi="仿宋_GB2312" w:eastAsia="仿宋_GB2312" w:cs="仿宋_GB2312"/>
          <w:color w:val="000000"/>
          <w:sz w:val="32"/>
          <w:u w:color="auto"/>
        </w:rPr>
        <w:t>1290.54万元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。主要用于中央和自治区</w:t>
      </w:r>
      <w:r>
        <w:rPr>
          <w:rFonts w:hint="eastAsia" w:ascii="仿宋_GB2312" w:hAnsi="Times New Roman" w:eastAsia="仿宋_GB2312" w:cs="Times New Roman"/>
          <w:color w:val="auto"/>
          <w:kern w:val="2"/>
          <w:sz w:val="32"/>
          <w:szCs w:val="32"/>
          <w:lang w:val="en-US" w:eastAsia="zh-CN" w:bidi="ar-SA"/>
        </w:rPr>
        <w:t>医疗服务与保障能力提升(卫生健康人才培养)补助资金、重点学科建设等项目，形成预决算差异的原因是：中央和自治区医疗服务与保障能力提升(卫生健康人才培养)补助资金、重点学科建设等经费均为年中追加项目。</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12)金融支出（类）金融发展支出（款）其他金融发展支出（项）</w:t>
      </w:r>
      <w:r>
        <w:rPr>
          <w:rFonts w:hint="eastAsia" w:ascii="仿宋_GB2312" w:hAnsi="Times New Roman" w:eastAsia="仿宋_GB2312" w:cs="Times New Roman"/>
          <w:color w:val="auto"/>
          <w:kern w:val="2"/>
          <w:sz w:val="32"/>
          <w:szCs w:val="32"/>
          <w:highlight w:val="none"/>
          <w:u w:val="none"/>
          <w:lang w:val="en-US" w:eastAsia="zh-CN" w:bidi="ar-SA"/>
        </w:rPr>
        <w:t>年初预算为0.00万元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，支出决算为</w:t>
      </w:r>
      <w:r>
        <w:rPr>
          <w:rFonts w:ascii="仿宋_GB2312" w:hAnsi="仿宋_GB2312" w:eastAsia="仿宋_GB2312" w:cs="仿宋_GB2312"/>
          <w:color w:val="000000"/>
          <w:sz w:val="32"/>
          <w:u w:color="auto"/>
        </w:rPr>
        <w:t>11.94万元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。主要用于</w:t>
      </w:r>
      <w:r>
        <w:rPr>
          <w:rFonts w:hint="eastAsia" w:ascii="仿宋_GB2312" w:hAnsi="Times New Roman" w:eastAsia="仿宋_GB2312" w:cs="Times New Roman"/>
          <w:color w:val="auto"/>
          <w:kern w:val="2"/>
          <w:sz w:val="32"/>
          <w:szCs w:val="32"/>
          <w:lang w:val="en-US" w:eastAsia="zh-CN" w:bidi="ar-SA"/>
        </w:rPr>
        <w:t>相思湖医院PPP项目</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，形成预决算差异的原因是：</w:t>
      </w:r>
      <w:r>
        <w:rPr>
          <w:rFonts w:hint="eastAsia" w:ascii="仿宋_GB2312" w:hAnsi="Times New Roman" w:eastAsia="仿宋_GB2312" w:cs="Times New Roman"/>
          <w:color w:val="auto"/>
          <w:kern w:val="2"/>
          <w:sz w:val="32"/>
          <w:szCs w:val="32"/>
          <w:lang w:val="en-US" w:eastAsia="zh-CN" w:bidi="ar-SA"/>
        </w:rPr>
        <w:t>相思湖医院PPP项目经费为年中追加项目。</w:t>
      </w:r>
    </w:p>
    <w:p>
      <w:pPr>
        <w:pStyle w:val="6"/>
        <w:keepNext w:val="0"/>
        <w:keepLines w:val="0"/>
        <w:pageBreakBefore w:val="0"/>
        <w:widowControl/>
        <w:kinsoku/>
        <w:wordWrap/>
        <w:overflowPunct/>
        <w:topLinePunct w:val="0"/>
        <w:autoSpaceDE/>
        <w:autoSpaceDN/>
        <w:bidi w:val="0"/>
        <w:adjustRightInd/>
        <w:snapToGrid/>
        <w:spacing w:before="240" w:beforeAutospacing="0" w:after="240" w:afterAutospacing="0" w:line="240" w:lineRule="auto"/>
        <w:ind w:firstLine="646"/>
        <w:jc w:val="both"/>
        <w:textAlignment w:val="auto"/>
        <w:rPr>
          <w:color w:val="000000"/>
          <w:sz w:val="32"/>
          <w:szCs w:val="32"/>
        </w:rPr>
      </w:pPr>
      <w:r>
        <w:rPr>
          <w:rFonts w:hint="eastAsia" w:ascii="黑体" w:hAnsi="宋体" w:eastAsia="黑体" w:cs="黑体"/>
          <w:color w:val="000000"/>
          <w:sz w:val="32"/>
          <w:szCs w:val="32"/>
          <w:shd w:val="clear" w:color="auto" w:fill="FFFFFF"/>
        </w:rPr>
        <w:t>三、2022年度一般公共预算财政拨款基本支出决算情况说明</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6"/>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2022年度一般公共预算财政拨款基本支出</w:t>
      </w:r>
      <w:r>
        <w:rPr>
          <w:rFonts w:ascii="仿宋_GB2312" w:hAnsi="仿宋_GB2312" w:eastAsia="仿宋_GB2312" w:cs="仿宋_GB2312"/>
          <w:color w:val="000000"/>
          <w:sz w:val="32"/>
          <w:u w:color="auto"/>
        </w:rPr>
        <w:t>668.63万元，其中：人员经费支出668.63万元，公用经费支出0.00万元，支出具体情况如下：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1)工资福利支出454.68万元，</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完成年初预算的</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100.00%</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，形成预决算差异原因</w:t>
      </w:r>
      <w:r>
        <w:rPr>
          <w:rFonts w:hint="eastAsia" w:ascii="仿宋_GB2312" w:hAnsi="Times New Roman" w:eastAsia="仿宋_GB2312" w:cs="Times New Roman"/>
          <w:color w:val="auto"/>
          <w:kern w:val="2"/>
          <w:sz w:val="32"/>
          <w:szCs w:val="32"/>
          <w:lang w:val="en-US" w:eastAsia="zh-CN" w:bidi="ar-SA"/>
        </w:rPr>
        <w:t>是：医疗保险已全部支出，所以未形成预决算差异。</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5"/>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其中：职工基本医疗保险缴费454.68万元。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2)商品和服务支出0.00万元</w:t>
      </w:r>
      <w:r>
        <w:rPr>
          <w:rFonts w:ascii="仿宋_GB2312" w:hAnsi="仿宋_GB2312" w:eastAsia="仿宋_GB2312" w:cs="仿宋_GB2312"/>
          <w:color w:val="auto"/>
          <w:sz w:val="32"/>
          <w:highlight w:val="none"/>
          <w:u w:color="auto"/>
        </w:rPr>
        <w:t>，</w:t>
      </w:r>
      <w:r>
        <w:rPr>
          <w:rFonts w:hint="eastAsia" w:ascii="仿宋_GB2312" w:hAnsi="仿宋_GB2312" w:eastAsia="仿宋_GB2312" w:cs="仿宋_GB2312"/>
          <w:color w:val="auto"/>
          <w:sz w:val="32"/>
          <w:highlight w:val="none"/>
          <w:u w:color="auto"/>
          <w:lang w:val="en-US" w:eastAsia="zh-CN"/>
        </w:rPr>
        <w:t>年初无预算。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3)对个人和家庭的补助213.95万元，</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完成年初预算的</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144.08%</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，形成预决算差异原因是：丧葬费和一次性抚恤金</w:t>
      </w:r>
      <w:r>
        <w:rPr>
          <w:rFonts w:hint="eastAsia" w:ascii="仿宋_GB2312" w:hAnsi="Times New Roman" w:eastAsia="仿宋_GB2312" w:cs="Times New Roman"/>
          <w:color w:val="auto"/>
          <w:kern w:val="2"/>
          <w:sz w:val="32"/>
          <w:szCs w:val="32"/>
          <w:lang w:val="en-US" w:eastAsia="zh-CN" w:bidi="ar-SA"/>
        </w:rPr>
        <w:t>在实际发生时追加，不纳入年初预算。</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5"/>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其中：离休费78.80万元，退休费52.28万元，抚恤金82.15万元，生活补助0.72万元。</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4)债务利息及费用支出0.00万元</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auto"/>
          <w:sz w:val="32"/>
          <w:highlight w:val="none"/>
          <w:u w:color="auto"/>
          <w:lang w:val="en-US" w:eastAsia="zh-CN"/>
        </w:rPr>
        <w:t>年初无预算。</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5)资本性支出0.00万元，</w:t>
      </w:r>
      <w:r>
        <w:rPr>
          <w:rFonts w:hint="eastAsia" w:ascii="仿宋_GB2312" w:hAnsi="仿宋_GB2312" w:eastAsia="仿宋_GB2312" w:cs="仿宋_GB2312"/>
          <w:color w:val="auto"/>
          <w:sz w:val="32"/>
          <w:highlight w:val="none"/>
          <w:u w:color="auto"/>
          <w:lang w:val="en-US" w:eastAsia="zh-CN"/>
        </w:rPr>
        <w:t>年初无预算</w:t>
      </w:r>
      <w:r>
        <w:rPr>
          <w:rFonts w:hint="eastAsia" w:ascii="仿宋_GB2312" w:hAnsi="Times New Roman" w:eastAsia="仿宋_GB2312" w:cs="Times New Roman"/>
          <w:color w:val="auto"/>
          <w:kern w:val="2"/>
          <w:sz w:val="32"/>
          <w:szCs w:val="32"/>
          <w:lang w:val="en-US" w:eastAsia="zh-CN" w:bidi="ar-SA"/>
        </w:rPr>
        <w:t>。</w:t>
      </w:r>
    </w:p>
    <w:p>
      <w:pPr>
        <w:keepNext w:val="0"/>
        <w:keepLines w:val="0"/>
        <w:pageBreakBefore w:val="0"/>
        <w:widowControl w:val="0"/>
        <w:suppressLineNumbers w:val="0"/>
        <w:kinsoku/>
        <w:wordWrap/>
        <w:overflowPunct/>
        <w:bidi w:val="0"/>
        <w:snapToGrid/>
        <w:spacing w:before="0" w:beforeAutospacing="0" w:afterAutospacing="0" w:line="240" w:lineRule="auto"/>
        <w:ind w:left="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ascii="仿宋_GB2312" w:hAnsi="仿宋_GB2312" w:eastAsia="仿宋_GB2312" w:cs="仿宋_GB2312"/>
          <w:color w:val="000000"/>
          <w:sz w:val="32"/>
          <w:u w:color="auto"/>
        </w:rPr>
        <w:t>6)其他支出0.00万元，</w:t>
      </w:r>
      <w:r>
        <w:rPr>
          <w:rFonts w:hint="eastAsia" w:ascii="仿宋_GB2312" w:hAnsi="仿宋_GB2312" w:eastAsia="仿宋_GB2312" w:cs="仿宋_GB2312"/>
          <w:color w:val="auto"/>
          <w:sz w:val="32"/>
          <w:highlight w:val="none"/>
          <w:u w:color="auto"/>
          <w:lang w:val="en-US" w:eastAsia="zh-CN"/>
        </w:rPr>
        <w:t>年初无预算</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before="120" w:after="120" w:line="240" w:lineRule="auto"/>
        <w:ind w:firstLine="640" w:firstLineChars="200"/>
        <w:jc w:val="both"/>
        <w:textAlignment w:val="auto"/>
        <w:rPr>
          <w:rFonts w:ascii="黑体" w:hAnsi="黑体" w:eastAsia="黑体" w:cs="仿宋_GB2312"/>
          <w:kern w:val="0"/>
          <w:sz w:val="32"/>
          <w:szCs w:val="32"/>
        </w:rPr>
      </w:pPr>
      <w:r>
        <w:rPr>
          <w:rFonts w:hint="eastAsia" w:ascii="黑体" w:hAnsi="黑体" w:eastAsia="黑体" w:cs="仿宋_GB2312"/>
          <w:kern w:val="0"/>
          <w:sz w:val="32"/>
          <w:szCs w:val="32"/>
        </w:rPr>
        <w:t>四、2022年度政府性基金支出决算情况</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南宁市第一人民医院</w:t>
      </w:r>
      <w:r>
        <w:rPr>
          <w:rFonts w:ascii="仿宋_GB2312" w:hAnsi="仿宋_GB2312" w:eastAsia="仿宋_GB2312" w:cs="仿宋_GB2312"/>
          <w:color w:val="000000"/>
          <w:sz w:val="32"/>
          <w:u w:color="auto"/>
        </w:rPr>
        <w:t>2022年度政府性基金支出0.00万元，较2021年度决算数减少1000.00万元，下降100.00%。其中：基本支出0.00万元，项目支出0.00万元。</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000000" w:themeColor="text1"/>
          <w:sz w:val="32"/>
          <w:szCs w:val="32"/>
          <w14:textFill>
            <w14:solidFill>
              <w14:schemeClr w14:val="tx1"/>
            </w14:solidFill>
          </w14:textFill>
        </w:rPr>
        <w:t>南宁市第一人民医院</w:t>
      </w:r>
      <w:r>
        <w:rPr>
          <w:rFonts w:ascii="仿宋_GB2312" w:hAnsi="仿宋_GB2312" w:eastAsia="仿宋_GB2312" w:cs="仿宋_GB2312"/>
          <w:color w:val="000000"/>
          <w:sz w:val="32"/>
          <w:u w:color="auto"/>
        </w:rPr>
        <w:t>2022年度政府性基金</w:t>
      </w:r>
      <w:r>
        <w:rPr>
          <w:rFonts w:ascii="仿宋_GB2312" w:hAnsi="仿宋_GB2312" w:eastAsia="仿宋_GB2312" w:cs="仿宋_GB2312"/>
          <w:color w:val="auto"/>
          <w:sz w:val="32"/>
          <w:highlight w:val="none"/>
          <w:u w:color="auto"/>
        </w:rPr>
        <w:t>支出年</w:t>
      </w:r>
      <w:r>
        <w:rPr>
          <w:rFonts w:hint="eastAsia" w:ascii="仿宋_GB2312" w:hAnsi="Times New Roman" w:eastAsia="仿宋_GB2312" w:cs="Times New Roman"/>
          <w:color w:val="auto"/>
          <w:sz w:val="32"/>
          <w:szCs w:val="32"/>
          <w:highlight w:val="none"/>
        </w:rPr>
        <w:t>初预算为</w:t>
      </w:r>
      <w:r>
        <w:rPr>
          <w:rFonts w:hint="eastAsia" w:ascii="仿宋_GB2312" w:hAnsi="Times New Roman" w:eastAsia="仿宋_GB2312" w:cs="Times New Roman"/>
          <w:color w:val="auto"/>
          <w:sz w:val="32"/>
          <w:szCs w:val="32"/>
          <w:highlight w:val="none"/>
          <w:u w:val="none"/>
          <w:lang w:val="en-US" w:eastAsia="zh-CN"/>
        </w:rPr>
        <w:t>0.00</w:t>
      </w:r>
      <w:r>
        <w:rPr>
          <w:rFonts w:hint="eastAsia" w:ascii="仿宋_GB2312" w:hAnsi="Times New Roman" w:eastAsia="仿宋_GB2312" w:cs="Times New Roman"/>
          <w:color w:val="auto"/>
          <w:sz w:val="32"/>
          <w:szCs w:val="32"/>
          <w:highlight w:val="none"/>
        </w:rPr>
        <w:t>万元，支出决算为</w:t>
      </w:r>
      <w:r>
        <w:rPr>
          <w:rFonts w:ascii="仿宋_GB2312" w:hAnsi="仿宋_GB2312" w:eastAsia="仿宋_GB2312" w:cs="仿宋_GB2312"/>
          <w:color w:val="auto"/>
          <w:sz w:val="32"/>
          <w:highlight w:val="none"/>
          <w:u w:color="auto"/>
        </w:rPr>
        <w:t>0.00万元</w:t>
      </w:r>
      <w:r>
        <w:rPr>
          <w:rFonts w:hint="eastAsia" w:ascii="仿宋_GB2312" w:hAnsi="Times New Roman" w:eastAsia="仿宋_GB2312" w:cs="Times New Roman"/>
          <w:color w:val="auto"/>
          <w:sz w:val="32"/>
          <w:szCs w:val="32"/>
          <w:highlight w:val="none"/>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南宁市第一人民医院没有政府性基金收入，也没有政府性基金收入安排的支出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before="120" w:after="120" w:line="240" w:lineRule="auto"/>
        <w:ind w:firstLine="640" w:firstLineChars="200"/>
        <w:jc w:val="both"/>
        <w:textAlignment w:val="auto"/>
        <w:rPr>
          <w:rFonts w:ascii="黑体" w:hAnsi="黑体" w:eastAsia="黑体" w:cs="仿宋_GB2312"/>
          <w:kern w:val="0"/>
          <w:sz w:val="32"/>
          <w:szCs w:val="32"/>
        </w:rPr>
      </w:pPr>
      <w:r>
        <w:rPr>
          <w:rFonts w:hint="eastAsia" w:ascii="黑体" w:hAnsi="黑体" w:eastAsia="黑体" w:cs="仿宋_GB2312"/>
          <w:kern w:val="0"/>
          <w:sz w:val="32"/>
          <w:szCs w:val="32"/>
        </w:rPr>
        <w:t>五、2022年度国有资本经营预算支出决算情况</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南宁市第一人民医院</w:t>
      </w:r>
      <w:r>
        <w:rPr>
          <w:rFonts w:ascii="仿宋_GB2312" w:hAnsi="仿宋_GB2312" w:eastAsia="仿宋_GB2312" w:cs="仿宋_GB2312"/>
          <w:color w:val="000000"/>
          <w:sz w:val="32"/>
          <w:u w:color="auto"/>
        </w:rPr>
        <w:t>2022年度国有资本经营预算支出0.00万元。其中：基本支出0.00万元，项目支出0.00万元。</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南宁市第</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一人民医院</w:t>
      </w:r>
      <w:r>
        <w:rPr>
          <w:rFonts w:ascii="仿宋_GB2312" w:hAnsi="仿宋_GB2312" w:eastAsia="仿宋_GB2312" w:cs="仿宋_GB2312"/>
          <w:color w:val="000000"/>
          <w:sz w:val="32"/>
          <w:highlight w:val="none"/>
          <w:u w:color="auto"/>
        </w:rPr>
        <w:t>2022年度国有资本经营预算支出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年初预算为</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0.00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万元，支出决算为</w:t>
      </w:r>
      <w:r>
        <w:rPr>
          <w:rFonts w:ascii="仿宋_GB2312" w:hAnsi="仿宋_GB2312" w:eastAsia="仿宋_GB2312" w:cs="仿宋_GB2312"/>
          <w:color w:val="000000"/>
          <w:sz w:val="32"/>
          <w:highlight w:val="none"/>
          <w:u w:color="auto"/>
        </w:rPr>
        <w:t>0.00万元</w:t>
      </w:r>
      <w:r>
        <w:rPr>
          <w:rFonts w:hint="eastAsia" w:ascii="仿宋_GB2312"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rPr>
      </w:pPr>
      <w:bookmarkStart w:id="2" w:name="PO_part3A5B1C1DiffReason1"/>
      <w:r>
        <w:rPr>
          <w:rFonts w:hint="eastAsia" w:ascii="仿宋_GB2312" w:hAnsi="Times New Roman" w:eastAsia="仿宋_GB2312" w:cs="Times New Roman"/>
          <w:color w:val="auto"/>
          <w:sz w:val="32"/>
          <w:szCs w:val="32"/>
        </w:rPr>
        <w:t>南宁市第一人民医院</w:t>
      </w:r>
      <w:bookmarkEnd w:id="2"/>
      <w:r>
        <w:rPr>
          <w:rFonts w:ascii="仿宋_GB2312" w:hAnsi="仿宋_GB2312" w:eastAsia="仿宋_GB2312" w:cs="仿宋_GB2312"/>
          <w:color w:val="auto"/>
          <w:sz w:val="32"/>
          <w:u w:color="auto"/>
        </w:rPr>
        <w:t>没有国有资本经营预算收入，也没有国有资本经营预算收入安排的支出。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after="120" w:line="240" w:lineRule="auto"/>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六、</w:t>
      </w:r>
      <w:r>
        <w:rPr>
          <w:rFonts w:hint="eastAsia" w:ascii="黑体" w:hAnsi="黑体" w:eastAsia="黑体" w:cs="仿宋_GB2312"/>
          <w:kern w:val="0"/>
          <w:sz w:val="32"/>
          <w:szCs w:val="32"/>
        </w:rPr>
        <w:t>财政拨款“三公”经费支出决算情况说明</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2022年度财政拨款安排的“三公”经费支出</w:t>
      </w:r>
      <w:r>
        <w:rPr>
          <w:rFonts w:ascii="仿宋_GB2312" w:hAnsi="仿宋_GB2312" w:eastAsia="仿宋_GB2312" w:cs="仿宋_GB2312"/>
          <w:color w:val="000000"/>
          <w:sz w:val="32"/>
          <w:u w:color="auto"/>
        </w:rPr>
        <w:t>0.00万元，</w:t>
      </w:r>
      <w:r>
        <w:rPr>
          <w:rFonts w:hint="eastAsia" w:ascii="仿宋_GB2312" w:hAnsi="Times New Roman" w:eastAsia="仿宋_GB2312" w:cs="Times New Roman"/>
          <w:color w:val="000000" w:themeColor="text1"/>
          <w:sz w:val="32"/>
          <w:szCs w:val="32"/>
          <w14:textFill>
            <w14:solidFill>
              <w14:schemeClr w14:val="tx1"/>
            </w14:solidFill>
          </w14:textFill>
        </w:rPr>
        <w:t>比</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2021</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ascii="仿宋_GB2312" w:hAnsi="仿宋_GB2312" w:eastAsia="仿宋_GB2312" w:cs="仿宋_GB2312"/>
          <w:color w:val="000000"/>
          <w:sz w:val="32"/>
          <w:u w:color="auto"/>
        </w:rPr>
        <w:t>增加0.00万元，增</w:t>
      </w:r>
      <w:r>
        <w:rPr>
          <w:rFonts w:ascii="仿宋_GB2312" w:hAnsi="仿宋_GB2312" w:eastAsia="仿宋_GB2312" w:cs="仿宋_GB2312"/>
          <w:color w:val="auto"/>
          <w:sz w:val="32"/>
          <w:u w:color="auto"/>
        </w:rPr>
        <w:t>长0%</w:t>
      </w:r>
      <w:r>
        <w:rPr>
          <w:rFonts w:eastAsia="仿宋_GB2312"/>
          <w:color w:val="auto"/>
          <w:kern w:val="0"/>
          <w:sz w:val="32"/>
          <w:szCs w:val="32"/>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其中：</w:t>
      </w:r>
      <w:r>
        <w:rPr>
          <w:rFonts w:hint="eastAsia" w:ascii="仿宋_GB2312" w:hAnsi="Times New Roman" w:eastAsia="仿宋_GB2312" w:cs="Times New Roman"/>
          <w:color w:val="000000" w:themeColor="text1"/>
          <w:sz w:val="32"/>
          <w:szCs w:val="32"/>
          <w14:textFill>
            <w14:solidFill>
              <w14:schemeClr w14:val="tx1"/>
            </w14:solidFill>
          </w14:textFill>
        </w:rPr>
        <w:t>因公出国（境）费支出决算</w:t>
      </w:r>
      <w:r>
        <w:rPr>
          <w:rFonts w:ascii="仿宋_GB2312" w:hAnsi="仿宋_GB2312" w:eastAsia="仿宋_GB2312" w:cs="仿宋_GB2312"/>
          <w:color w:val="000000"/>
          <w:sz w:val="32"/>
          <w:u w:color="auto"/>
        </w:rPr>
        <w:t>0.00万元，公务用车购置及运行费支出决算0.00万元，公务接待费支出决算0.00万元。</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具体情况如下：</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（一）因公出国（境）费支出</w:t>
      </w:r>
      <w:r>
        <w:rPr>
          <w:rFonts w:ascii="仿宋_GB2312" w:hAnsi="仿宋_GB2312" w:eastAsia="仿宋_GB2312" w:cs="仿宋_GB2312"/>
          <w:color w:val="000000"/>
          <w:sz w:val="32"/>
          <w:u w:color="auto"/>
        </w:rPr>
        <w:t>0.00万元，</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比</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2021</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ascii="仿宋_GB2312" w:hAnsi="仿宋_GB2312" w:eastAsia="仿宋_GB2312" w:cs="仿宋_GB2312"/>
          <w:color w:val="000000"/>
          <w:sz w:val="32"/>
          <w:u w:color="auto"/>
        </w:rPr>
        <w:t>增加0.00万元，增长0%</w:t>
      </w:r>
      <w:r>
        <w:rPr>
          <w:rFonts w:hint="eastAsia" w:ascii="仿宋_GB2312" w:hAnsi="Times New Roman" w:eastAsia="仿宋_GB2312" w:cs="Times New Roman"/>
          <w:color w:val="auto"/>
          <w:sz w:val="32"/>
          <w:szCs w:val="32"/>
          <w:lang w:val="en-US" w:eastAsia="zh-CN"/>
        </w:rPr>
        <w:t>。本部门无因公出国（境）支出。</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u w:val="none"/>
        </w:rPr>
        <w:t>个</w:t>
      </w:r>
      <w:r>
        <w:rPr>
          <w:rFonts w:hint="eastAsia" w:ascii="仿宋_GB2312" w:hAnsi="Times New Roman" w:eastAsia="仿宋_GB2312" w:cs="Times New Roman"/>
          <w:color w:val="auto"/>
          <w:sz w:val="32"/>
          <w:szCs w:val="32"/>
        </w:rPr>
        <w:t>所属单位出国团组</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个，全年因公出国（境）团组共计</w:t>
      </w:r>
      <w:r>
        <w:rPr>
          <w:rFonts w:ascii="仿宋_GB2312" w:hAnsi="仿宋_GB2312" w:eastAsia="仿宋_GB2312" w:cs="仿宋_GB2312"/>
          <w:color w:val="auto"/>
          <w:sz w:val="32"/>
          <w:u w:color="auto"/>
        </w:rPr>
        <w:t>0个，累计0人次</w:t>
      </w:r>
      <w:r>
        <w:rPr>
          <w:rFonts w:hint="eastAsia" w:ascii="仿宋_GB2312" w:hAnsi="Times New Roman" w:eastAsia="仿宋_GB2312" w:cs="Times New Roman"/>
          <w:color w:val="auto"/>
          <w:sz w:val="32"/>
          <w:szCs w:val="32"/>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FF0000"/>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（二）公务用车购置及运行</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维护费</w:t>
      </w:r>
      <w:r>
        <w:rPr>
          <w:rFonts w:hint="eastAsia" w:ascii="仿宋_GB2312" w:hAnsi="Times New Roman" w:eastAsia="仿宋_GB2312" w:cs="Times New Roman"/>
          <w:color w:val="000000" w:themeColor="text1"/>
          <w:sz w:val="32"/>
          <w:szCs w:val="32"/>
          <w14:textFill>
            <w14:solidFill>
              <w14:schemeClr w14:val="tx1"/>
            </w14:solidFill>
          </w14:textFill>
        </w:rPr>
        <w:t>0.00</w:t>
      </w:r>
      <w:r>
        <w:rPr>
          <w:rFonts w:ascii="仿宋_GB2312" w:hAnsi="仿宋_GB2312" w:eastAsia="仿宋_GB2312" w:cs="仿宋_GB2312"/>
          <w:color w:val="000000"/>
          <w:sz w:val="32"/>
          <w:u w:color="auto"/>
        </w:rPr>
        <w:t>万元。其中：公务用车购置支出0.00万元，</w:t>
      </w:r>
      <w:r>
        <w:rPr>
          <w:rFonts w:hint="eastAsia" w:ascii="仿宋_GB2312" w:hAnsi="Times New Roman" w:eastAsia="仿宋_GB2312" w:cs="Times New Roman"/>
          <w:color w:val="000000" w:themeColor="text1"/>
          <w:sz w:val="32"/>
          <w:szCs w:val="32"/>
          <w14:textFill>
            <w14:solidFill>
              <w14:schemeClr w14:val="tx1"/>
            </w14:solidFill>
          </w14:textFill>
        </w:rPr>
        <w:t>比</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2021</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ascii="仿宋_GB2312" w:hAnsi="仿宋_GB2312" w:eastAsia="仿宋_GB2312" w:cs="仿宋_GB2312"/>
          <w:color w:val="000000"/>
          <w:sz w:val="32"/>
          <w:u w:color="auto"/>
        </w:rPr>
        <w:t>增加0.00万元，增长0%</w:t>
      </w:r>
      <w:r>
        <w:rPr>
          <w:rFonts w:hint="eastAsia" w:ascii="仿宋_GB2312" w:hAnsi="Times New Roman" w:eastAsia="仿宋_GB2312" w:cs="Times New Roman"/>
          <w:color w:val="auto"/>
          <w:sz w:val="32"/>
          <w:szCs w:val="32"/>
          <w:highlight w:val="none"/>
          <w:lang w:val="en-US" w:eastAsia="zh-CN"/>
        </w:rPr>
        <w:t>，</w:t>
      </w:r>
      <w:bookmarkStart w:id="3" w:name="PO_part3A6B2IncReason1"/>
      <w:r>
        <w:rPr>
          <w:rFonts w:hint="eastAsia" w:ascii="仿宋_GB2312" w:hAnsi="Times New Roman" w:eastAsia="仿宋_GB2312" w:cs="Times New Roman"/>
          <w:color w:val="auto"/>
          <w:sz w:val="32"/>
          <w:szCs w:val="32"/>
        </w:rPr>
        <w:t>本部门无公务用车购置</w:t>
      </w:r>
      <w:bookmarkEnd w:id="3"/>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000000" w:themeColor="text1"/>
          <w:sz w:val="32"/>
          <w:szCs w:val="32"/>
          <w14:textFill>
            <w14:solidFill>
              <w14:schemeClr w14:val="tx1"/>
            </w14:solidFill>
          </w14:textFill>
        </w:rPr>
        <w:t>购置了</w:t>
      </w:r>
      <w:r>
        <w:rPr>
          <w:rFonts w:ascii="仿宋_GB2312" w:hAnsi="仿宋_GB2312" w:eastAsia="仿宋_GB2312" w:cs="仿宋_GB2312"/>
          <w:color w:val="000000"/>
          <w:sz w:val="32"/>
          <w:u w:color="auto"/>
        </w:rPr>
        <w:t>0辆公务</w:t>
      </w:r>
      <w:r>
        <w:rPr>
          <w:rFonts w:ascii="仿宋_GB2312" w:hAnsi="仿宋_GB2312" w:eastAsia="仿宋_GB2312" w:cs="仿宋_GB2312"/>
          <w:color w:val="auto"/>
          <w:sz w:val="32"/>
          <w:u w:color="auto"/>
        </w:rPr>
        <w:t>用车</w:t>
      </w:r>
      <w:r>
        <w:rPr>
          <w:rFonts w:hint="eastAsia" w:ascii="仿宋_GB2312" w:hAnsi="Times New Roman" w:eastAsia="仿宋_GB2312" w:cs="Times New Roman"/>
          <w:color w:val="auto"/>
          <w:sz w:val="32"/>
          <w:szCs w:val="32"/>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000000" w:themeColor="text1"/>
          <w:sz w:val="32"/>
          <w:szCs w:val="32"/>
          <w14:textFill>
            <w14:solidFill>
              <w14:schemeClr w14:val="tx1"/>
            </w14:solidFill>
          </w14:textFill>
        </w:rPr>
        <w:t>公务用车运行</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维护</w:t>
      </w:r>
      <w:r>
        <w:rPr>
          <w:rFonts w:hint="eastAsia" w:ascii="仿宋_GB2312" w:hAnsi="Times New Roman" w:eastAsia="仿宋_GB2312" w:cs="Times New Roman"/>
          <w:color w:val="000000" w:themeColor="text1"/>
          <w:sz w:val="32"/>
          <w:szCs w:val="32"/>
          <w14:textFill>
            <w14:solidFill>
              <w14:schemeClr w14:val="tx1"/>
            </w14:solidFill>
          </w14:textFill>
        </w:rPr>
        <w:t>支出</w:t>
      </w:r>
      <w:r>
        <w:rPr>
          <w:rFonts w:ascii="仿宋_GB2312" w:hAnsi="仿宋_GB2312" w:eastAsia="仿宋_GB2312" w:cs="仿宋_GB2312"/>
          <w:color w:val="000000"/>
          <w:sz w:val="32"/>
          <w:u w:color="auto"/>
        </w:rPr>
        <w:t>0.00万元，</w:t>
      </w:r>
      <w:r>
        <w:rPr>
          <w:rFonts w:hint="eastAsia" w:ascii="仿宋_GB2312" w:hAnsi="Times New Roman" w:eastAsia="仿宋_GB2312" w:cs="Times New Roman"/>
          <w:color w:val="auto"/>
          <w:sz w:val="32"/>
          <w:szCs w:val="32"/>
          <w:highlight w:val="none"/>
          <w:u w:val="none" w:color="auto"/>
        </w:rPr>
        <w:t>比</w:t>
      </w:r>
      <w:r>
        <w:rPr>
          <w:rFonts w:hint="eastAsia" w:ascii="仿宋_GB2312" w:hAnsi="Times New Roman" w:eastAsia="仿宋_GB2312" w:cs="Times New Roman"/>
          <w:color w:val="auto"/>
          <w:sz w:val="32"/>
          <w:szCs w:val="32"/>
          <w:highlight w:val="none"/>
          <w:u w:val="none" w:color="auto"/>
          <w:lang w:val="en-US" w:eastAsia="zh-CN"/>
        </w:rPr>
        <w:t>2021</w:t>
      </w:r>
      <w:r>
        <w:rPr>
          <w:rFonts w:hint="eastAsia" w:ascii="仿宋_GB2312" w:hAnsi="Times New Roman" w:eastAsia="仿宋_GB2312" w:cs="Times New Roman"/>
          <w:color w:val="auto"/>
          <w:sz w:val="32"/>
          <w:szCs w:val="32"/>
          <w:highlight w:val="none"/>
          <w:u w:val="none" w:color="auto"/>
        </w:rPr>
        <w:t>年</w:t>
      </w:r>
      <w:r>
        <w:rPr>
          <w:rFonts w:ascii="仿宋_GB2312" w:hAnsi="仿宋_GB2312" w:eastAsia="仿宋_GB2312" w:cs="仿宋_GB2312"/>
          <w:color w:val="auto"/>
          <w:sz w:val="32"/>
          <w:highlight w:val="none"/>
          <w:u w:val="none" w:color="auto"/>
        </w:rPr>
        <w:t>增加0.00万元，增长0%</w:t>
      </w:r>
      <w:r>
        <w:rPr>
          <w:rFonts w:hint="eastAsia" w:ascii="仿宋_GB2312" w:hAnsi="Times New Roman" w:eastAsia="仿宋_GB2312" w:cs="Times New Roman"/>
          <w:color w:val="auto"/>
          <w:sz w:val="32"/>
          <w:szCs w:val="32"/>
          <w:highlight w:val="none"/>
          <w:u w:val="none" w:color="auto"/>
          <w:lang w:val="en-US" w:eastAsia="zh-CN"/>
        </w:rPr>
        <w:t>，本部门无公务用车运行维护支出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2022年，</w:t>
      </w:r>
      <w:r>
        <w:rPr>
          <w:rFonts w:ascii="仿宋_GB2312" w:hAnsi="仿宋_GB2312" w:eastAsia="仿宋_GB2312" w:cs="仿宋_GB2312"/>
          <w:color w:val="auto"/>
          <w:sz w:val="32"/>
          <w:highlight w:val="none"/>
          <w:u w:color="auto"/>
        </w:rPr>
        <w:t>南宁市第一人民医院</w:t>
      </w:r>
      <w:r>
        <w:rPr>
          <w:rFonts w:hint="eastAsia" w:ascii="仿宋_GB2312" w:hAnsi="Times New Roman" w:eastAsia="仿宋_GB2312" w:cs="Times New Roman"/>
          <w:color w:val="auto"/>
          <w:sz w:val="32"/>
          <w:szCs w:val="32"/>
          <w:highlight w:val="none"/>
        </w:rPr>
        <w:t>开支财政拨款的公务用车保有量为</w:t>
      </w:r>
      <w:r>
        <w:rPr>
          <w:rFonts w:hint="eastAsia" w:ascii="仿宋_GB2312" w:hAnsi="仿宋_GB2312" w:eastAsia="仿宋_GB2312" w:cs="仿宋_GB2312"/>
          <w:color w:val="auto"/>
          <w:sz w:val="32"/>
          <w:highlight w:val="none"/>
          <w:u w:color="auto"/>
          <w:lang w:val="en-US" w:eastAsia="zh-CN"/>
        </w:rPr>
        <w:t>0</w:t>
      </w:r>
      <w:r>
        <w:rPr>
          <w:rFonts w:ascii="仿宋_GB2312" w:hAnsi="仿宋_GB2312" w:eastAsia="仿宋_GB2312" w:cs="仿宋_GB2312"/>
          <w:color w:val="auto"/>
          <w:sz w:val="32"/>
          <w:highlight w:val="none"/>
          <w:u w:color="auto"/>
        </w:rPr>
        <w:t>辆</w:t>
      </w:r>
      <w:r>
        <w:rPr>
          <w:rFonts w:ascii="仿宋_GB2312" w:hAnsi="仿宋_GB2312" w:eastAsia="仿宋_GB2312" w:cs="仿宋_GB2312"/>
          <w:color w:val="000000"/>
          <w:sz w:val="32"/>
          <w:highlight w:val="none"/>
          <w:u w:color="auto"/>
        </w:rPr>
        <w:t>，</w:t>
      </w:r>
      <w:r>
        <w:rPr>
          <w:rFonts w:ascii="仿宋_GB2312" w:hAnsi="仿宋_GB2312" w:eastAsia="仿宋_GB2312" w:cs="仿宋_GB2312"/>
          <w:color w:val="auto"/>
          <w:sz w:val="32"/>
          <w:highlight w:val="none"/>
          <w:u w:color="auto"/>
        </w:rPr>
        <w:t>全年运行费支出0.00万元，</w:t>
      </w:r>
      <w:r>
        <w:rPr>
          <w:rFonts w:hint="eastAsia" w:ascii="仿宋_GB2312" w:hAnsi="Times New Roman" w:eastAsia="仿宋_GB2312" w:cs="Times New Roman"/>
          <w:color w:val="auto"/>
          <w:sz w:val="32"/>
          <w:szCs w:val="32"/>
          <w:highlight w:val="none"/>
        </w:rPr>
        <w:t>平均每辆</w:t>
      </w:r>
      <w:r>
        <w:rPr>
          <w:rFonts w:hint="eastAsia" w:ascii="仿宋_GB2312" w:hAnsi="Times New Roman" w:eastAsia="仿宋_GB2312" w:cs="Times New Roman"/>
          <w:color w:val="auto"/>
          <w:sz w:val="32"/>
          <w:szCs w:val="32"/>
          <w:highlight w:val="none"/>
          <w:u w:val="none"/>
          <w:lang w:val="en-US" w:eastAsia="zh-CN"/>
        </w:rPr>
        <w:t>0.00</w:t>
      </w:r>
      <w:r>
        <w:rPr>
          <w:rFonts w:hint="eastAsia" w:ascii="仿宋_GB2312" w:hAnsi="Times New Roman" w:eastAsia="仿宋_GB2312" w:cs="Times New Roman"/>
          <w:color w:val="auto"/>
          <w:sz w:val="32"/>
          <w:szCs w:val="32"/>
          <w:highlight w:val="none"/>
        </w:rPr>
        <w:t>万元</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（三）公务接待费支出</w:t>
      </w:r>
      <w:r>
        <w:rPr>
          <w:rFonts w:ascii="仿宋_GB2312" w:hAnsi="仿宋_GB2312" w:eastAsia="仿宋_GB2312" w:cs="仿宋_GB2312"/>
          <w:color w:val="000000"/>
          <w:sz w:val="32"/>
          <w:u w:color="auto"/>
        </w:rPr>
        <w:t>0.00万元，</w:t>
      </w:r>
      <w:r>
        <w:rPr>
          <w:rFonts w:hint="eastAsia" w:ascii="仿宋_GB2312" w:hAnsi="Times New Roman" w:eastAsia="仿宋_GB2312" w:cs="Times New Roman"/>
          <w:color w:val="000000" w:themeColor="text1"/>
          <w:sz w:val="32"/>
          <w:szCs w:val="32"/>
          <w14:textFill>
            <w14:solidFill>
              <w14:schemeClr w14:val="tx1"/>
            </w14:solidFill>
          </w14:textFill>
        </w:rPr>
        <w:t xml:space="preserve"> 比</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2021</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ascii="仿宋_GB2312" w:hAnsi="仿宋_GB2312" w:eastAsia="仿宋_GB2312" w:cs="仿宋_GB2312"/>
          <w:color w:val="000000"/>
          <w:sz w:val="32"/>
          <w:u w:color="auto"/>
        </w:rPr>
        <w:t>增加0.00万元，增长0%</w:t>
      </w:r>
      <w:r>
        <w:rPr>
          <w:rFonts w:hint="eastAsia" w:ascii="仿宋_GB2312" w:hAnsi="Times New Roman" w:eastAsia="仿宋_GB2312" w:cs="Times New Roman"/>
          <w:color w:val="auto"/>
          <w:sz w:val="32"/>
          <w:szCs w:val="32"/>
          <w:highlight w:val="none"/>
          <w:lang w:val="en-US" w:eastAsia="zh-CN"/>
        </w:rPr>
        <w:t>，本部门无公务接待费支出。</w:t>
      </w:r>
      <w:r>
        <w:rPr>
          <w:rFonts w:hint="eastAsia" w:ascii="仿宋_GB2312" w:hAnsi="Times New Roman" w:eastAsia="仿宋_GB2312" w:cs="Times New Roman"/>
          <w:color w:val="auto"/>
          <w:sz w:val="32"/>
          <w:szCs w:val="32"/>
        </w:rPr>
        <w:t>国内公务接待批</w:t>
      </w:r>
      <w:r>
        <w:rPr>
          <w:rFonts w:hint="eastAsia" w:ascii="仿宋_GB2312" w:hAnsi="Times New Roman" w:eastAsia="仿宋_GB2312" w:cs="Times New Roman"/>
          <w:color w:val="000000" w:themeColor="text1"/>
          <w:sz w:val="32"/>
          <w:szCs w:val="32"/>
          <w14:textFill>
            <w14:solidFill>
              <w14:schemeClr w14:val="tx1"/>
            </w14:solidFill>
          </w14:textFill>
        </w:rPr>
        <w:t>次</w:t>
      </w:r>
      <w:bookmarkStart w:id="4" w:name="_Hlk145513101"/>
      <w:r>
        <w:rPr>
          <w:rFonts w:ascii="仿宋_GB2312" w:hAnsi="仿宋_GB2312" w:eastAsia="仿宋_GB2312" w:cs="仿宋_GB2312"/>
          <w:color w:val="000000"/>
          <w:sz w:val="32"/>
          <w:u w:color="auto"/>
        </w:rPr>
        <w:t xml:space="preserve">0次，人次0次，国（境）外公务接待批次0次，人次 </w:t>
      </w:r>
      <w:r>
        <w:rPr>
          <w:rFonts w:hint="eastAsia" w:ascii="仿宋_GB2312" w:hAnsi="Times New Roman" w:eastAsia="仿宋_GB2312" w:cs="Times New Roman"/>
          <w:color w:val="000000" w:themeColor="text1"/>
          <w:sz w:val="32"/>
          <w:szCs w:val="32"/>
          <w14:textFill>
            <w14:solidFill>
              <w14:schemeClr w14:val="tx1"/>
            </w14:solidFill>
          </w14:textFill>
        </w:rPr>
        <w:t>0</w:t>
      </w:r>
      <w:bookmarkEnd w:id="4"/>
      <w:r>
        <w:rPr>
          <w:rFonts w:hint="eastAsia" w:ascii="仿宋_GB2312" w:hAnsi="Times New Roman" w:eastAsia="仿宋_GB2312" w:cs="Times New Roman"/>
          <w:color w:val="000000" w:themeColor="text1"/>
          <w:sz w:val="32"/>
          <w:szCs w:val="32"/>
          <w14:textFill>
            <w14:solidFill>
              <w14:schemeClr w14:val="tx1"/>
            </w14:solidFill>
          </w14:textFill>
        </w:rPr>
        <w:t>次。</w:t>
      </w:r>
    </w:p>
    <w:p>
      <w:pPr>
        <w:keepNext w:val="0"/>
        <w:keepLines w:val="0"/>
        <w:pageBreakBefore w:val="0"/>
        <w:widowControl w:val="0"/>
        <w:kinsoku/>
        <w:wordWrap/>
        <w:overflowPunct/>
        <w:topLinePunct w:val="0"/>
        <w:autoSpaceDE w:val="0"/>
        <w:autoSpaceDN w:val="0"/>
        <w:bidi w:val="0"/>
        <w:adjustRightInd w:val="0"/>
        <w:snapToGrid/>
        <w:spacing w:before="120" w:after="120" w:line="240" w:lineRule="auto"/>
        <w:ind w:firstLine="627" w:firstLineChars="196"/>
        <w:jc w:val="both"/>
        <w:textAlignment w:val="auto"/>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（一）机关运行经费支出情况说明</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ascii="仿宋_GB2312" w:hAnsi="Times New Roman" w:eastAsia="仿宋_GB2312" w:cs="Times New Roman"/>
          <w:b w:val="0"/>
          <w:bCs w:val="0"/>
          <w:color w:val="auto"/>
          <w:sz w:val="32"/>
          <w:szCs w:val="32"/>
          <w:highlight w:val="none"/>
          <w:lang w:val="en-US" w:eastAsia="zh-CN"/>
        </w:rPr>
      </w:pPr>
      <w:r>
        <w:rPr>
          <w:rFonts w:hint="eastAsia" w:ascii="仿宋_GB2312" w:hAnsi="Times New Roman" w:eastAsia="仿宋_GB2312" w:cs="Times New Roman"/>
          <w:b w:val="0"/>
          <w:bCs w:val="0"/>
          <w:color w:val="auto"/>
          <w:sz w:val="32"/>
          <w:szCs w:val="32"/>
          <w:highlight w:val="none"/>
        </w:rPr>
        <w:t>本部门2022年度机关运行经费支出</w:t>
      </w:r>
      <w:r>
        <w:rPr>
          <w:rFonts w:ascii="仿宋_GB2312" w:hAnsi="仿宋_GB2312" w:eastAsia="仿宋_GB2312" w:cs="仿宋_GB2312"/>
          <w:b w:val="0"/>
          <w:bCs w:val="0"/>
          <w:color w:val="auto"/>
          <w:sz w:val="32"/>
          <w:highlight w:val="none"/>
          <w:u w:color="auto"/>
        </w:rPr>
        <w:t>0.00万元</w:t>
      </w:r>
      <w:r>
        <w:rPr>
          <w:rFonts w:hint="eastAsia" w:ascii="仿宋_GB2312" w:hAnsi="Times New Roman" w:eastAsia="仿宋_GB2312" w:cs="Times New Roman"/>
          <w:b w:val="0"/>
          <w:bCs w:val="0"/>
          <w:color w:val="auto"/>
          <w:sz w:val="32"/>
          <w:szCs w:val="32"/>
          <w:highlight w:val="none"/>
          <w:lang w:val="en-US" w:eastAsia="zh-CN"/>
        </w:rPr>
        <w:t>,</w:t>
      </w:r>
      <w:r>
        <w:rPr>
          <w:rFonts w:eastAsia="仿宋_GB2312"/>
          <w:b w:val="0"/>
          <w:bCs w:val="0"/>
          <w:color w:val="auto"/>
          <w:kern w:val="0"/>
          <w:sz w:val="32"/>
          <w:szCs w:val="32"/>
          <w:highlight w:val="none"/>
        </w:rPr>
        <w:t>比年初预算数增加</w:t>
      </w:r>
      <w:r>
        <w:rPr>
          <w:rFonts w:ascii="仿宋_GB2312" w:hAnsi="仿宋_GB2312" w:eastAsia="仿宋_GB2312" w:cs="仿宋_GB2312"/>
          <w:b w:val="0"/>
          <w:bCs w:val="0"/>
          <w:color w:val="auto"/>
          <w:sz w:val="32"/>
          <w:highlight w:val="none"/>
          <w:u w:color="auto"/>
        </w:rPr>
        <w:t>0.00</w:t>
      </w:r>
      <w:r>
        <w:rPr>
          <w:rFonts w:eastAsia="仿宋_GB2312"/>
          <w:b w:val="0"/>
          <w:bCs w:val="0"/>
          <w:color w:val="auto"/>
          <w:kern w:val="0"/>
          <w:sz w:val="32"/>
          <w:szCs w:val="32"/>
          <w:highlight w:val="none"/>
        </w:rPr>
        <w:t>万元，增长</w:t>
      </w:r>
      <w:r>
        <w:rPr>
          <w:rFonts w:ascii="仿宋_GB2312" w:hAnsi="仿宋_GB2312" w:eastAsia="仿宋_GB2312" w:cs="仿宋_GB2312"/>
          <w:b w:val="0"/>
          <w:bCs w:val="0"/>
          <w:color w:val="auto"/>
          <w:sz w:val="32"/>
          <w:highlight w:val="none"/>
          <w:u w:color="auto"/>
        </w:rPr>
        <w:t>0%</w:t>
      </w:r>
      <w:r>
        <w:rPr>
          <w:rFonts w:eastAsia="仿宋_GB2312"/>
          <w:b w:val="0"/>
          <w:bCs w:val="0"/>
          <w:color w:val="auto"/>
          <w:kern w:val="0"/>
          <w:sz w:val="32"/>
          <w:szCs w:val="32"/>
          <w:highlight w:val="none"/>
        </w:rPr>
        <w:t>。</w:t>
      </w:r>
      <w:r>
        <w:rPr>
          <w:rFonts w:hint="eastAsia" w:ascii="仿宋_GB2312" w:hAnsi="Times New Roman" w:eastAsia="仿宋_GB2312" w:cs="Times New Roman"/>
          <w:b w:val="0"/>
          <w:bCs w:val="0"/>
          <w:color w:val="auto"/>
          <w:sz w:val="32"/>
          <w:szCs w:val="32"/>
          <w:highlight w:val="none"/>
        </w:rPr>
        <w:t>比</w:t>
      </w:r>
      <w:r>
        <w:rPr>
          <w:rFonts w:hint="eastAsia" w:ascii="仿宋_GB2312" w:hAnsi="Times New Roman" w:eastAsia="仿宋_GB2312" w:cs="Times New Roman"/>
          <w:b w:val="0"/>
          <w:bCs w:val="0"/>
          <w:color w:val="auto"/>
          <w:sz w:val="32"/>
          <w:szCs w:val="32"/>
          <w:highlight w:val="none"/>
          <w:lang w:val="en-US" w:eastAsia="zh-CN"/>
        </w:rPr>
        <w:t>2021</w:t>
      </w:r>
      <w:r>
        <w:rPr>
          <w:rFonts w:hint="eastAsia" w:ascii="仿宋_GB2312" w:hAnsi="Times New Roman" w:eastAsia="仿宋_GB2312" w:cs="Times New Roman"/>
          <w:b w:val="0"/>
          <w:bCs w:val="0"/>
          <w:color w:val="auto"/>
          <w:sz w:val="32"/>
          <w:szCs w:val="32"/>
          <w:highlight w:val="none"/>
        </w:rPr>
        <w:t>年决算数</w:t>
      </w:r>
      <w:r>
        <w:rPr>
          <w:rFonts w:ascii="仿宋_GB2312" w:hAnsi="仿宋_GB2312" w:eastAsia="仿宋_GB2312" w:cs="仿宋_GB2312"/>
          <w:b w:val="0"/>
          <w:bCs w:val="0"/>
          <w:color w:val="auto"/>
          <w:sz w:val="32"/>
          <w:highlight w:val="none"/>
          <w:u w:color="auto"/>
        </w:rPr>
        <w:t>增加0.00万元，增长0%。</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ascii="仿宋_GB2312" w:hAnsi="Times New Roman" w:eastAsia="仿宋_GB2312" w:cs="Times New Roman"/>
          <w:b w:val="0"/>
          <w:bCs w:val="0"/>
          <w:color w:val="auto"/>
          <w:sz w:val="32"/>
          <w:szCs w:val="32"/>
          <w:highlight w:val="none"/>
        </w:rPr>
      </w:pPr>
      <w:r>
        <w:rPr>
          <w:rFonts w:eastAsia="仿宋_GB2312"/>
          <w:b w:val="0"/>
          <w:bCs w:val="0"/>
          <w:color w:val="auto"/>
          <w:kern w:val="0"/>
          <w:sz w:val="32"/>
          <w:szCs w:val="32"/>
          <w:highlight w:val="none"/>
        </w:rPr>
        <w:t>本部门无机关运行经费支出。</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（二）政府采购支出情况说明</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本部门2022年度政府采购支出总额</w:t>
      </w:r>
      <w:r>
        <w:rPr>
          <w:rFonts w:ascii="仿宋_GB2312" w:hAnsi="仿宋_GB2312" w:eastAsia="仿宋_GB2312" w:cs="仿宋_GB2312"/>
          <w:color w:val="000000"/>
          <w:sz w:val="32"/>
          <w:highlight w:val="none"/>
          <w:u w:color="auto"/>
        </w:rPr>
        <w:t>2733.69万元，其中：政府采购货物支出251.87万元、政府采购工程支出820.14万元、政府采购服务支出1661.67万元。授予中小企业合同金额2047.49万元，占政府采购支出总额的74.90%，其中：授予小微企业合同金额1693.97万元，占授予中小企业合同金额的82.73%。</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货物采购授予中小企业合同金额占货物支出金额的</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71.61</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%；工程采购授予中小企业合同金额占工程支出金额的</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9.24</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%；服务采购授予中小企业合同金额占服务支出金额的</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19.15</w:t>
      </w:r>
      <w:r>
        <w:rPr>
          <w:rFonts w:hint="eastAsia" w:ascii="仿宋_GB2312"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（三）国有资产占用情况说明</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截至2022年12月31日，本部门共有车辆</w:t>
      </w:r>
      <w:bookmarkStart w:id="5" w:name="_Hlk145513911"/>
      <w:r>
        <w:rPr>
          <w:rFonts w:ascii="仿宋_GB2312" w:hAnsi="仿宋_GB2312" w:eastAsia="仿宋_GB2312" w:cs="仿宋_GB2312"/>
          <w:color w:val="000000"/>
          <w:sz w:val="32"/>
          <w:u w:color="auto"/>
        </w:rPr>
        <w:t>16辆，其中：副部（省）级领导干部用车0辆、机要通信用车0辆、应急保障用车0辆、执法执勤用车</w:t>
      </w:r>
      <w:r>
        <w:rPr>
          <w:rFonts w:hint="eastAsia" w:ascii="仿宋_GB2312" w:hAnsi="Times New Roman" w:eastAsia="仿宋_GB2312" w:cs="Times New Roman"/>
          <w:color w:val="000000" w:themeColor="text1"/>
          <w:sz w:val="32"/>
          <w:szCs w:val="32"/>
          <w14:textFill>
            <w14:solidFill>
              <w14:schemeClr w14:val="tx1"/>
            </w14:solidFill>
          </w14:textFill>
        </w:rPr>
        <w:t>0</w:t>
      </w:r>
      <w:bookmarkEnd w:id="5"/>
      <w:r>
        <w:rPr>
          <w:rFonts w:hint="eastAsia" w:ascii="仿宋_GB2312" w:hAnsi="Times New Roman" w:eastAsia="仿宋_GB2312" w:cs="Times New Roman"/>
          <w:color w:val="000000" w:themeColor="text1"/>
          <w:sz w:val="32"/>
          <w:szCs w:val="32"/>
          <w14:textFill>
            <w14:solidFill>
              <w14:schemeClr w14:val="tx1"/>
            </w14:solidFill>
          </w14:textFill>
        </w:rPr>
        <w:t>辆、特种专业技术用车</w:t>
      </w:r>
      <w:r>
        <w:rPr>
          <w:rFonts w:ascii="仿宋_GB2312" w:hAnsi="仿宋_GB2312" w:eastAsia="仿宋_GB2312" w:cs="仿宋_GB2312"/>
          <w:color w:val="000000"/>
          <w:sz w:val="32"/>
          <w:u w:color="auto"/>
        </w:rPr>
        <w:t>11辆、其他用车5辆，</w:t>
      </w:r>
      <w:r>
        <w:rPr>
          <w:rFonts w:hint="eastAsia" w:ascii="仿宋_GB2312" w:hAnsi="Times New Roman" w:eastAsia="仿宋_GB2312" w:cs="Times New Roman"/>
          <w:color w:val="auto"/>
          <w:sz w:val="32"/>
          <w:szCs w:val="32"/>
        </w:rPr>
        <w:t>其他用车主要是</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轿车2辆，客车1辆，体检车1辆，移动核酸检测车1辆。</w:t>
      </w:r>
      <w:r>
        <w:rPr>
          <w:rFonts w:hint="eastAsia" w:ascii="仿宋_GB2312" w:hAnsi="Times New Roman" w:eastAsia="仿宋_GB2312" w:cs="Times New Roman"/>
          <w:color w:val="auto"/>
          <w:sz w:val="32"/>
          <w:szCs w:val="32"/>
        </w:rPr>
        <w:t>单位价值50万元以上通用设备</w:t>
      </w:r>
      <w:r>
        <w:rPr>
          <w:rFonts w:hint="eastAsia" w:ascii="仿宋_GB2312" w:hAnsi="Times New Roman" w:eastAsia="仿宋_GB2312" w:cs="Times New Roman"/>
          <w:color w:val="auto"/>
          <w:sz w:val="32"/>
          <w:szCs w:val="32"/>
          <w:lang w:val="en-US" w:eastAsia="zh-CN"/>
        </w:rPr>
        <w:t>33</w:t>
      </w:r>
      <w:r>
        <w:rPr>
          <w:rFonts w:ascii="仿宋_GB2312" w:hAnsi="仿宋_GB2312" w:eastAsia="仿宋_GB2312" w:cs="仿宋_GB2312"/>
          <w:color w:val="auto"/>
          <w:sz w:val="32"/>
          <w:u w:color="auto"/>
        </w:rPr>
        <w:t>台（套）；单位价值100万元以上专用设备183台（套）。</w:t>
      </w:r>
    </w:p>
    <w:p>
      <w:pPr>
        <w:keepNext w:val="0"/>
        <w:keepLines w:val="0"/>
        <w:pageBreakBefore w:val="0"/>
        <w:kinsoku/>
        <w:wordWrap/>
        <w:overflowPunct/>
        <w:bidi w:val="0"/>
        <w:snapToGrid/>
        <w:spacing w:line="240" w:lineRule="auto"/>
        <w:ind w:firstLine="640" w:firstLineChars="200"/>
        <w:jc w:val="both"/>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（四）</w:t>
      </w:r>
      <w:r>
        <w:rPr>
          <w:rFonts w:hint="eastAsia" w:ascii="仿宋_GB2312" w:hAnsi="Times New Roman" w:eastAsia="仿宋_GB2312" w:cs="Times New Roman"/>
          <w:color w:val="000000" w:themeColor="text1"/>
          <w:sz w:val="32"/>
          <w:szCs w:val="32"/>
          <w14:textFill>
            <w14:solidFill>
              <w14:schemeClr w14:val="tx1"/>
            </w14:solidFill>
          </w14:textFill>
        </w:rPr>
        <w:t>预算绩效管理工作开展情况</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1．绩效自评情况。</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我部门根据年初设定的绩效目标，组织对2022年度</w:t>
      </w:r>
      <w:r>
        <w:rPr>
          <w:rFonts w:hint="eastAsia" w:eastAsia="仿宋_GB2312"/>
          <w:kern w:val="0"/>
          <w:sz w:val="32"/>
          <w:szCs w:val="32"/>
          <w:highlight w:val="none"/>
          <w:lang w:val="en-US" w:eastAsia="zh-CN"/>
        </w:rPr>
        <w:t>31</w:t>
      </w:r>
      <w:r>
        <w:rPr>
          <w:rFonts w:hint="eastAsia" w:eastAsia="仿宋_GB2312"/>
          <w:kern w:val="0"/>
          <w:sz w:val="32"/>
          <w:szCs w:val="32"/>
          <w:highlight w:val="none"/>
        </w:rPr>
        <w:t>个</w:t>
      </w:r>
      <w:r>
        <w:rPr>
          <w:rFonts w:eastAsia="仿宋_GB2312"/>
          <w:kern w:val="0"/>
          <w:sz w:val="32"/>
          <w:szCs w:val="32"/>
          <w:highlight w:val="none"/>
        </w:rPr>
        <w:t xml:space="preserve">一般公共预算项目支出全面开展绩效自评，共涉及资金  </w:t>
      </w:r>
      <w:r>
        <w:rPr>
          <w:rFonts w:hint="eastAsia" w:ascii="仿宋_GB2312" w:hAnsi="仿宋_GB2312" w:eastAsia="仿宋_GB2312" w:cs="仿宋_GB2312"/>
          <w:color w:val="auto"/>
          <w:sz w:val="32"/>
          <w:u w:color="auto"/>
          <w:lang w:val="en-US" w:eastAsia="zh-CN"/>
        </w:rPr>
        <w:t>13370.90</w:t>
      </w:r>
      <w:r>
        <w:rPr>
          <w:rFonts w:eastAsia="仿宋_GB2312"/>
          <w:kern w:val="0"/>
          <w:sz w:val="32"/>
          <w:szCs w:val="32"/>
          <w:highlight w:val="none"/>
        </w:rPr>
        <w:t>万元，占一般公共预算项目支出总额的</w:t>
      </w:r>
      <w:r>
        <w:rPr>
          <w:rFonts w:hint="eastAsia" w:ascii="仿宋_GB2312" w:hAnsi="仿宋_GB2312" w:eastAsia="仿宋_GB2312" w:cs="仿宋_GB2312"/>
          <w:color w:val="auto"/>
          <w:sz w:val="32"/>
          <w:u w:color="auto"/>
          <w:lang w:val="en-US" w:eastAsia="zh-CN"/>
        </w:rPr>
        <w:t>77.50%</w:t>
      </w:r>
      <w:r>
        <w:rPr>
          <w:rFonts w:eastAsia="仿宋_GB2312"/>
          <w:kern w:val="0"/>
          <w:sz w:val="32"/>
          <w:szCs w:val="32"/>
          <w:highlight w:val="none"/>
        </w:rPr>
        <w:t>。组织对2022年度</w:t>
      </w:r>
      <w:r>
        <w:rPr>
          <w:rFonts w:hint="eastAsia" w:eastAsia="仿宋_GB2312"/>
          <w:kern w:val="0"/>
          <w:sz w:val="32"/>
          <w:szCs w:val="32"/>
          <w:highlight w:val="none"/>
          <w:lang w:val="en-US" w:eastAsia="zh-CN"/>
        </w:rPr>
        <w:t>0</w:t>
      </w:r>
      <w:r>
        <w:rPr>
          <w:rFonts w:eastAsia="仿宋_GB2312"/>
          <w:kern w:val="0"/>
          <w:sz w:val="32"/>
          <w:szCs w:val="32"/>
          <w:highlight w:val="none"/>
        </w:rPr>
        <w:t>个政府性基金预算项目支出开展绩效自评，共涉及资金</w:t>
      </w:r>
      <w:r>
        <w:rPr>
          <w:rFonts w:hint="eastAsia" w:ascii="仿宋_GB2312" w:hAnsi="仿宋_GB2312" w:eastAsia="仿宋_GB2312" w:cs="仿宋_GB2312"/>
          <w:color w:val="auto"/>
          <w:sz w:val="32"/>
          <w:u w:color="auto"/>
          <w:lang w:val="en-US" w:eastAsia="zh-CN"/>
        </w:rPr>
        <w:t>0.00</w:t>
      </w:r>
      <w:r>
        <w:rPr>
          <w:rFonts w:eastAsia="仿宋_GB2312"/>
          <w:kern w:val="0"/>
          <w:sz w:val="32"/>
          <w:szCs w:val="32"/>
          <w:highlight w:val="none"/>
        </w:rPr>
        <w:t>万元，占政府性基金预算项目支出总额的</w:t>
      </w:r>
      <w:r>
        <w:rPr>
          <w:rFonts w:hint="eastAsia" w:ascii="仿宋_GB2312" w:hAnsi="仿宋_GB2312" w:eastAsia="仿宋_GB2312" w:cs="仿宋_GB2312"/>
          <w:color w:val="auto"/>
          <w:sz w:val="32"/>
          <w:u w:color="auto"/>
          <w:lang w:val="en-US" w:eastAsia="zh-CN"/>
        </w:rPr>
        <w:t>0.00%</w:t>
      </w:r>
      <w:r>
        <w:rPr>
          <w:rFonts w:eastAsia="仿宋_GB2312"/>
          <w:kern w:val="0"/>
          <w:sz w:val="32"/>
          <w:szCs w:val="32"/>
          <w:highlight w:val="none"/>
        </w:rPr>
        <w:t>。组织对2022年度</w:t>
      </w:r>
      <w:r>
        <w:rPr>
          <w:rFonts w:hint="eastAsia" w:eastAsia="仿宋_GB2312"/>
          <w:kern w:val="0"/>
          <w:sz w:val="32"/>
          <w:szCs w:val="32"/>
          <w:highlight w:val="none"/>
          <w:lang w:val="en-US" w:eastAsia="zh-CN"/>
        </w:rPr>
        <w:t>0</w:t>
      </w:r>
      <w:r>
        <w:rPr>
          <w:rFonts w:eastAsia="仿宋_GB2312"/>
          <w:kern w:val="0"/>
          <w:sz w:val="32"/>
          <w:szCs w:val="32"/>
          <w:highlight w:val="none"/>
        </w:rPr>
        <w:t>个国有资本经营预算项目支出开展绩效自评，共涉及资金</w:t>
      </w:r>
      <w:r>
        <w:rPr>
          <w:rFonts w:hint="eastAsia" w:ascii="仿宋_GB2312" w:hAnsi="仿宋_GB2312" w:eastAsia="仿宋_GB2312" w:cs="仿宋_GB2312"/>
          <w:color w:val="auto"/>
          <w:sz w:val="32"/>
          <w:u w:color="auto"/>
          <w:lang w:val="en-US" w:eastAsia="zh-CN"/>
        </w:rPr>
        <w:t>0.00</w:t>
      </w:r>
      <w:r>
        <w:rPr>
          <w:rFonts w:eastAsia="仿宋_GB2312"/>
          <w:kern w:val="0"/>
          <w:sz w:val="32"/>
          <w:szCs w:val="32"/>
          <w:highlight w:val="none"/>
        </w:rPr>
        <w:t>万元，占国有资本经营预算项目支出总额的</w:t>
      </w:r>
      <w:r>
        <w:rPr>
          <w:rFonts w:hint="eastAsia" w:ascii="仿宋_GB2312" w:hAnsi="仿宋_GB2312" w:eastAsia="仿宋_GB2312" w:cs="仿宋_GB2312"/>
          <w:color w:val="auto"/>
          <w:sz w:val="32"/>
          <w:u w:color="auto"/>
          <w:lang w:val="en-US" w:eastAsia="zh-CN"/>
        </w:rPr>
        <w:t>0.00%</w:t>
      </w:r>
      <w:r>
        <w:rPr>
          <w:rFonts w:eastAsia="仿宋_GB2312"/>
          <w:kern w:val="0"/>
          <w:sz w:val="32"/>
          <w:szCs w:val="32"/>
          <w:highlight w:val="none"/>
        </w:rPr>
        <w:t>。</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（1）经我部门对照年初设定的绩效目标自评，</w:t>
      </w:r>
      <w:r>
        <w:rPr>
          <w:rFonts w:hint="eastAsia" w:eastAsia="仿宋_GB2312"/>
          <w:kern w:val="0"/>
          <w:sz w:val="32"/>
          <w:szCs w:val="32"/>
          <w:highlight w:val="none"/>
          <w:lang w:val="en-US" w:eastAsia="zh-CN"/>
        </w:rPr>
        <w:t>28</w:t>
      </w:r>
      <w:r>
        <w:rPr>
          <w:rFonts w:hint="eastAsia" w:eastAsia="仿宋_GB2312"/>
          <w:kern w:val="0"/>
          <w:sz w:val="32"/>
          <w:szCs w:val="32"/>
          <w:highlight w:val="none"/>
        </w:rPr>
        <w:t>个项目评为一等，占项目总数比例</w:t>
      </w:r>
      <w:r>
        <w:rPr>
          <w:rFonts w:hint="eastAsia" w:ascii="仿宋_GB2312" w:hAnsi="仿宋_GB2312" w:eastAsia="仿宋_GB2312" w:cs="仿宋_GB2312"/>
          <w:color w:val="auto"/>
          <w:sz w:val="32"/>
          <w:u w:color="auto"/>
          <w:lang w:val="en-US" w:eastAsia="zh-CN"/>
        </w:rPr>
        <w:t>90.32%</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2</w:t>
      </w:r>
      <w:r>
        <w:rPr>
          <w:rFonts w:hint="eastAsia" w:eastAsia="仿宋_GB2312"/>
          <w:kern w:val="0"/>
          <w:sz w:val="32"/>
          <w:szCs w:val="32"/>
          <w:highlight w:val="none"/>
        </w:rPr>
        <w:t>个项目评为二等，占项目总数比例</w:t>
      </w:r>
      <w:r>
        <w:rPr>
          <w:rFonts w:hint="eastAsia" w:ascii="仿宋_GB2312" w:hAnsi="仿宋_GB2312" w:eastAsia="仿宋_GB2312" w:cs="仿宋_GB2312"/>
          <w:color w:val="auto"/>
          <w:sz w:val="32"/>
          <w:u w:color="auto"/>
          <w:lang w:val="en-US" w:eastAsia="zh-CN"/>
        </w:rPr>
        <w:t>6.45%</w:t>
      </w:r>
      <w:r>
        <w:rPr>
          <w:rFonts w:hint="eastAsia" w:eastAsia="仿宋_GB2312"/>
          <w:kern w:val="0"/>
          <w:sz w:val="32"/>
          <w:szCs w:val="32"/>
          <w:highlight w:val="none"/>
        </w:rPr>
        <w:t>；</w:t>
      </w:r>
      <w:r>
        <w:rPr>
          <w:rFonts w:hint="eastAsia" w:eastAsia="仿宋_GB2312"/>
          <w:kern w:val="0"/>
          <w:sz w:val="32"/>
          <w:szCs w:val="32"/>
          <w:highlight w:val="none"/>
          <w:lang w:val="en-US" w:eastAsia="zh-CN"/>
        </w:rPr>
        <w:t>1</w:t>
      </w:r>
      <w:r>
        <w:rPr>
          <w:rFonts w:hint="eastAsia" w:eastAsia="仿宋_GB2312"/>
          <w:kern w:val="0"/>
          <w:sz w:val="32"/>
          <w:szCs w:val="32"/>
          <w:highlight w:val="none"/>
        </w:rPr>
        <w:t>个项目评为三等，占项目总数比例</w:t>
      </w:r>
      <w:r>
        <w:rPr>
          <w:rFonts w:hint="eastAsia" w:ascii="仿宋_GB2312" w:hAnsi="仿宋_GB2312" w:eastAsia="仿宋_GB2312" w:cs="仿宋_GB2312"/>
          <w:color w:val="auto"/>
          <w:sz w:val="32"/>
          <w:u w:color="auto"/>
          <w:lang w:val="en-US" w:eastAsia="zh-CN"/>
        </w:rPr>
        <w:t>3.23%</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hint="eastAsia" w:eastAsia="仿宋_GB2312"/>
          <w:kern w:val="0"/>
          <w:sz w:val="32"/>
          <w:szCs w:val="32"/>
          <w:highlight w:val="none"/>
        </w:rPr>
        <w:t>个项目评为四等，占项目总数比例</w:t>
      </w:r>
      <w:r>
        <w:rPr>
          <w:rFonts w:hint="eastAsia" w:ascii="仿宋_GB2312" w:hAnsi="仿宋_GB2312" w:eastAsia="仿宋_GB2312" w:cs="仿宋_GB2312"/>
          <w:color w:val="auto"/>
          <w:sz w:val="32"/>
          <w:u w:color="auto"/>
          <w:lang w:val="en-US" w:eastAsia="zh-CN"/>
        </w:rPr>
        <w:t>0.00%</w:t>
      </w:r>
      <w:r>
        <w:rPr>
          <w:rFonts w:hint="eastAsia" w:eastAsia="仿宋_GB2312"/>
          <w:kern w:val="0"/>
          <w:sz w:val="32"/>
          <w:szCs w:val="32"/>
          <w:highlight w:val="none"/>
        </w:rPr>
        <w:t>。自评发现的主要问题及原因：一是项目预算及自评工作不够精准，统筹协调不够，不能及时解决项目实施过程中存在的问题，难以确保项目实现预期目标，各项目科室对绩效评价工作的重要性认识有待进一步提高；二是在绩效指标完成情况填报工作中，财政支出多个子项目合并为一个主项目时存在一定困难，并对后期的运行监控和绩效评价工作增加了难度</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三是部分项目由于不可抗拒原因，资金支付未完全按年初计划开展，资金支出进度缓慢，影响了工作任务和绩效指标的完成，拉低了绩效评价得分。如：受疫情客观因素的影响、财政资金下达时间较晚等</w:t>
      </w:r>
      <w:r>
        <w:rPr>
          <w:rFonts w:hint="eastAsia" w:eastAsia="仿宋_GB2312"/>
          <w:kern w:val="0"/>
          <w:sz w:val="32"/>
          <w:szCs w:val="32"/>
          <w:highlight w:val="none"/>
        </w:rPr>
        <w:t>。下一步改进措施：一是针对绩效自评工作中发现的问题和不足，针对绩效有偏差的项目，我单位将细化预算编制工作，精准编制项目支出预算，认真做好预算的编制；二是进一步加强单位内部机构各科室的预算管理意识，严格按照预算编制的相关制度和要求进行预算编制。</w:t>
      </w:r>
      <w:r>
        <w:rPr>
          <w:rFonts w:hint="eastAsia" w:eastAsia="仿宋_GB2312"/>
          <w:kern w:val="0"/>
          <w:sz w:val="32"/>
          <w:szCs w:val="32"/>
          <w:highlight w:val="none"/>
          <w:lang w:val="en-US" w:eastAsia="zh-CN"/>
        </w:rPr>
        <w:t>三是将</w:t>
      </w:r>
      <w:r>
        <w:rPr>
          <w:rFonts w:hint="eastAsia" w:eastAsia="仿宋_GB2312"/>
          <w:kern w:val="0"/>
          <w:sz w:val="32"/>
          <w:szCs w:val="32"/>
          <w:highlight w:val="none"/>
        </w:rPr>
        <w:t>本部门将自评结果作为下一年度预算安排和编制的依据，不断提高预算编制的科学性和有效性。</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color w:val="FF0000"/>
          <w:kern w:val="0"/>
          <w:sz w:val="32"/>
          <w:szCs w:val="32"/>
        </w:rPr>
      </w:pPr>
      <w:r>
        <w:rPr>
          <w:rFonts w:hint="eastAsia" w:eastAsia="仿宋_GB2312"/>
          <w:kern w:val="0"/>
          <w:sz w:val="32"/>
          <w:szCs w:val="32"/>
        </w:rPr>
        <w:t>（2）部分重点项目绩效自评情况</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kern w:val="0"/>
          <w:sz w:val="32"/>
          <w:szCs w:val="32"/>
        </w:rPr>
      </w:pPr>
      <w:r>
        <w:rPr>
          <w:rFonts w:hint="eastAsia" w:eastAsia="仿宋_GB2312"/>
          <w:kern w:val="0"/>
          <w:sz w:val="32"/>
          <w:szCs w:val="32"/>
        </w:rPr>
        <w:t>根据年初设定的绩效目标，(市本级财政)南宁市公立医院高质量发展项目补助资金项目自评得分为</w:t>
      </w:r>
      <w:r>
        <w:rPr>
          <w:rFonts w:hint="eastAsia" w:ascii="仿宋_GB2312" w:hAnsi="仿宋_GB2312" w:eastAsia="仿宋_GB2312" w:cs="仿宋_GB2312"/>
          <w:color w:val="000000"/>
          <w:sz w:val="32"/>
          <w:u w:color="auto"/>
          <w:lang w:val="en-US" w:eastAsia="zh-CN"/>
        </w:rPr>
        <w:t>99.37</w:t>
      </w:r>
      <w:r>
        <w:rPr>
          <w:rFonts w:hint="eastAsia" w:ascii="仿宋_GB2312" w:hAnsi="仿宋_GB2312" w:eastAsia="仿宋_GB2312" w:cs="仿宋_GB2312"/>
          <w:color w:val="000000"/>
          <w:sz w:val="32"/>
          <w:u w:color="auto"/>
        </w:rPr>
        <w:t xml:space="preserve"> </w:t>
      </w:r>
      <w:r>
        <w:rPr>
          <w:rFonts w:hint="eastAsia" w:eastAsia="仿宋_GB2312"/>
          <w:kern w:val="0"/>
          <w:sz w:val="32"/>
          <w:szCs w:val="32"/>
        </w:rPr>
        <w:t>分，</w:t>
      </w:r>
      <w:r>
        <w:rPr>
          <w:rFonts w:hint="eastAsia" w:eastAsia="仿宋_GB2312"/>
          <w:kern w:val="0"/>
          <w:sz w:val="32"/>
          <w:szCs w:val="32"/>
          <w:lang w:val="en-US" w:eastAsia="zh-CN"/>
        </w:rPr>
        <w:t>一</w:t>
      </w:r>
      <w:r>
        <w:rPr>
          <w:rFonts w:hint="eastAsia" w:eastAsia="仿宋_GB2312"/>
          <w:kern w:val="0"/>
          <w:sz w:val="32"/>
          <w:szCs w:val="32"/>
        </w:rPr>
        <w:t>等，项目全年预算数为</w:t>
      </w:r>
      <w:r>
        <w:rPr>
          <w:rFonts w:hint="eastAsia" w:ascii="仿宋_GB2312" w:hAnsi="仿宋_GB2312" w:eastAsia="仿宋_GB2312" w:cs="仿宋_GB2312"/>
          <w:color w:val="000000"/>
          <w:sz w:val="32"/>
          <w:u w:color="auto"/>
          <w:lang w:val="en-US" w:eastAsia="zh-CN"/>
        </w:rPr>
        <w:t>460.00</w:t>
      </w:r>
      <w:r>
        <w:rPr>
          <w:rFonts w:hint="eastAsia" w:eastAsia="仿宋_GB2312"/>
          <w:kern w:val="0"/>
          <w:sz w:val="32"/>
          <w:szCs w:val="32"/>
        </w:rPr>
        <w:t>万元，执行数为</w:t>
      </w:r>
      <w:r>
        <w:rPr>
          <w:rFonts w:hint="eastAsia" w:ascii="仿宋_GB2312" w:hAnsi="仿宋_GB2312" w:eastAsia="仿宋_GB2312" w:cs="仿宋_GB2312"/>
          <w:color w:val="000000"/>
          <w:sz w:val="32"/>
          <w:u w:color="auto"/>
          <w:lang w:val="en-US" w:eastAsia="zh-CN"/>
        </w:rPr>
        <w:t>460.00</w:t>
      </w:r>
      <w:r>
        <w:rPr>
          <w:rFonts w:hint="eastAsia" w:eastAsia="仿宋_GB2312"/>
          <w:kern w:val="0"/>
          <w:sz w:val="32"/>
          <w:szCs w:val="32"/>
        </w:rPr>
        <w:t>万元，完成预算的</w:t>
      </w:r>
      <w:r>
        <w:rPr>
          <w:rFonts w:hint="eastAsia" w:ascii="仿宋_GB2312" w:hAnsi="仿宋_GB2312" w:eastAsia="仿宋_GB2312" w:cs="仿宋_GB2312"/>
          <w:color w:val="000000"/>
          <w:sz w:val="32"/>
          <w:u w:color="auto"/>
          <w:lang w:val="en-US" w:eastAsia="zh-CN"/>
        </w:rPr>
        <w:t>100.00</w:t>
      </w:r>
      <w:r>
        <w:rPr>
          <w:rFonts w:hint="eastAsia" w:ascii="仿宋_GB2312" w:hAnsi="仿宋_GB2312" w:eastAsia="仿宋_GB2312" w:cs="仿宋_GB2312"/>
          <w:color w:val="000000"/>
          <w:sz w:val="32"/>
          <w:u w:color="auto"/>
        </w:rPr>
        <w:t>%</w:t>
      </w:r>
      <w:r>
        <w:rPr>
          <w:rFonts w:hint="eastAsia" w:eastAsia="仿宋_GB2312"/>
          <w:kern w:val="0"/>
          <w:sz w:val="32"/>
          <w:szCs w:val="32"/>
        </w:rPr>
        <w:t>。项目绩效目标完成情况：新开展成人体外膜肺氧合辅助心肺复苏（ECPR）、急性中毒血液净化技术新技术项目，有效提高危重患者救治成功率。持续急危重患者救治的规范化管理，急危重症医学部严格落实核心医疗制度和各项规章制度，严抓医疗质量安全管理，对全体人员定期进行“三基三严”培训。2022全年无医疗安全不良事件、无医疗差错、事故。2022年完成对委员单位质控调研督查及基层培训共2次，累计培训基层人员</w:t>
      </w:r>
      <w:r>
        <w:rPr>
          <w:rFonts w:hint="eastAsia" w:ascii="仿宋_GB2312" w:hAnsi="仿宋_GB2312" w:eastAsia="仿宋_GB2312" w:cs="仿宋_GB2312"/>
          <w:color w:val="000000"/>
          <w:sz w:val="32"/>
          <w:u w:color="auto"/>
          <w:lang w:val="en-US" w:eastAsia="zh-CN"/>
        </w:rPr>
        <w:t>1000</w:t>
      </w:r>
      <w:r>
        <w:rPr>
          <w:rFonts w:hint="eastAsia" w:eastAsia="仿宋_GB2312"/>
          <w:kern w:val="0"/>
          <w:sz w:val="32"/>
          <w:szCs w:val="32"/>
        </w:rPr>
        <w:t>余人。医院依托南宁市重症医学质控中心的力量，集中南宁市重症、护理、感染专家，采取划片包干的方式，对市内各县区规范开展重症救治工作提供</w:t>
      </w:r>
      <w:r>
        <w:rPr>
          <w:rFonts w:hint="eastAsia" w:eastAsia="仿宋_GB2312"/>
          <w:kern w:val="0"/>
          <w:sz w:val="32"/>
          <w:szCs w:val="32"/>
          <w:lang w:val="en-US" w:eastAsia="zh-CN"/>
        </w:rPr>
        <w:t>支持</w:t>
      </w:r>
      <w:r>
        <w:rPr>
          <w:rFonts w:hint="eastAsia" w:eastAsia="仿宋_GB2312"/>
          <w:kern w:val="0"/>
          <w:sz w:val="32"/>
          <w:szCs w:val="32"/>
        </w:rPr>
        <w:t>，通过现场督查、参与查房、重症病例讨论等形式，指导各医院规范开展重症救治工作。同时通过远程会诊中心，对下级医疗机构的疑难危重病例进行会诊，进一步提高救治方案的科学性和可行性。在医疗集团内开展急救培训2次，进行应急演练3次。2022年底新冠疫情高发期，被南宁市卫健委指派为新冠感染重症救治专家组组长，到市内多地指导工作，建立ECMO救治团队，成功救治了多例急危重症患者并取得良好社会反响。医学部作为急诊和危重症医学教学基地和规培基地，每年有约200名本科生和近100名规培生顺利通过基地培训。2022年申报立项南宁市级及同等级以上科研项目3项，实用新技术及专利成果9项，发表国内CN期刊、核心期刊等论文6篇。自评发现的主要问题及原因：</w:t>
      </w:r>
      <w:r>
        <w:rPr>
          <w:rFonts w:hint="eastAsia" w:eastAsia="仿宋_GB2312"/>
          <w:kern w:val="0"/>
          <w:sz w:val="32"/>
          <w:szCs w:val="32"/>
          <w:lang w:val="en-US" w:eastAsia="zh-CN"/>
        </w:rPr>
        <w:t>努力开展更多的新技术新项目，同时加强对基层人员的培训工作</w:t>
      </w:r>
      <w:r>
        <w:rPr>
          <w:rFonts w:hint="eastAsia" w:eastAsia="仿宋_GB2312"/>
          <w:kern w:val="0"/>
          <w:sz w:val="32"/>
          <w:szCs w:val="32"/>
        </w:rPr>
        <w:t>。下一步改进措施：一是</w:t>
      </w:r>
      <w:r>
        <w:rPr>
          <w:rFonts w:hint="eastAsia" w:eastAsia="仿宋_GB2312"/>
          <w:kern w:val="0"/>
          <w:sz w:val="32"/>
          <w:szCs w:val="32"/>
          <w:lang w:val="en-US" w:eastAsia="zh-CN"/>
        </w:rPr>
        <w:t>加强自身技能的不断提升，技术科研两手抓，开展更多的新技术研究，也要提高新技术及专利成果的转化率</w:t>
      </w:r>
      <w:r>
        <w:rPr>
          <w:rFonts w:hint="eastAsia" w:eastAsia="仿宋_GB2312"/>
          <w:kern w:val="0"/>
          <w:sz w:val="32"/>
          <w:szCs w:val="32"/>
        </w:rPr>
        <w:t>；二是依托南宁市重症医学质控中心的力量</w:t>
      </w:r>
      <w:r>
        <w:rPr>
          <w:rFonts w:hint="eastAsia" w:eastAsia="仿宋_GB2312"/>
          <w:kern w:val="0"/>
          <w:sz w:val="32"/>
          <w:szCs w:val="32"/>
          <w:lang w:eastAsia="zh-CN"/>
        </w:rPr>
        <w:t>，</w:t>
      </w:r>
      <w:r>
        <w:rPr>
          <w:rFonts w:hint="eastAsia" w:eastAsia="仿宋_GB2312"/>
          <w:kern w:val="0"/>
          <w:sz w:val="32"/>
          <w:szCs w:val="32"/>
          <w:lang w:val="en-US" w:eastAsia="zh-CN"/>
        </w:rPr>
        <w:t>为</w:t>
      </w:r>
      <w:r>
        <w:rPr>
          <w:rFonts w:hint="eastAsia" w:eastAsia="仿宋_GB2312"/>
          <w:kern w:val="0"/>
          <w:sz w:val="32"/>
          <w:szCs w:val="32"/>
        </w:rPr>
        <w:t>市内各县区规范开展重症救治工作提供</w:t>
      </w:r>
      <w:r>
        <w:rPr>
          <w:rFonts w:hint="eastAsia" w:eastAsia="仿宋_GB2312"/>
          <w:kern w:val="0"/>
          <w:sz w:val="32"/>
          <w:szCs w:val="32"/>
          <w:lang w:val="en-US" w:eastAsia="zh-CN"/>
        </w:rPr>
        <w:t>支持，加强基层人员的培训和培养</w:t>
      </w:r>
      <w:r>
        <w:rPr>
          <w:rFonts w:hint="eastAsia" w:eastAsia="仿宋_GB2312"/>
          <w:kern w:val="0"/>
          <w:sz w:val="32"/>
          <w:szCs w:val="32"/>
        </w:rPr>
        <w:t>。</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kern w:val="0"/>
          <w:sz w:val="32"/>
          <w:szCs w:val="32"/>
        </w:rPr>
      </w:pPr>
      <w:r>
        <w:rPr>
          <w:rFonts w:hint="eastAsia" w:eastAsia="仿宋_GB2312"/>
          <w:kern w:val="0"/>
          <w:sz w:val="32"/>
          <w:szCs w:val="32"/>
        </w:rPr>
        <w:t>2.部门评价情况。</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b w:val="0"/>
          <w:bCs/>
          <w:color w:val="auto"/>
          <w:kern w:val="0"/>
          <w:sz w:val="32"/>
          <w:szCs w:val="32"/>
          <w:lang w:eastAsia="zh-CN"/>
        </w:rPr>
      </w:pPr>
      <w:r>
        <w:rPr>
          <w:rFonts w:eastAsia="仿宋_GB2312"/>
          <w:b w:val="0"/>
          <w:bCs/>
          <w:color w:val="auto"/>
          <w:kern w:val="0"/>
          <w:sz w:val="32"/>
          <w:szCs w:val="32"/>
        </w:rPr>
        <w:t>本部门未开展部门评价</w:t>
      </w:r>
      <w:r>
        <w:rPr>
          <w:rFonts w:hint="eastAsia" w:eastAsia="仿宋_GB2312"/>
          <w:b w:val="0"/>
          <w:bCs/>
          <w:color w:val="auto"/>
          <w:kern w:val="0"/>
          <w:sz w:val="32"/>
          <w:szCs w:val="32"/>
          <w:lang w:eastAsia="zh-CN"/>
        </w:rPr>
        <w:t>。</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eastAsia="仿宋_GB2312"/>
          <w:kern w:val="0"/>
          <w:sz w:val="32"/>
          <w:szCs w:val="32"/>
        </w:rPr>
      </w:pPr>
      <w:r>
        <w:rPr>
          <w:rFonts w:eastAsia="仿宋_GB2312"/>
          <w:kern w:val="0"/>
          <w:sz w:val="32"/>
          <w:szCs w:val="32"/>
        </w:rPr>
        <w:t>3.</w:t>
      </w:r>
      <w:r>
        <w:rPr>
          <w:rFonts w:hint="eastAsia" w:eastAsia="仿宋_GB2312"/>
          <w:kern w:val="0"/>
          <w:sz w:val="32"/>
          <w:szCs w:val="32"/>
        </w:rPr>
        <w:t>财政</w:t>
      </w:r>
      <w:r>
        <w:rPr>
          <w:rFonts w:eastAsia="仿宋_GB2312"/>
          <w:kern w:val="0"/>
          <w:sz w:val="32"/>
          <w:szCs w:val="32"/>
        </w:rPr>
        <w:t>评价情况。</w:t>
      </w:r>
    </w:p>
    <w:p>
      <w:pPr>
        <w:keepNext w:val="0"/>
        <w:keepLines w:val="0"/>
        <w:pageBreakBefore w:val="0"/>
        <w:kinsoku/>
        <w:wordWrap/>
        <w:overflowPunct/>
        <w:topLinePunct/>
        <w:bidi w:val="0"/>
        <w:adjustRightInd w:val="0"/>
        <w:snapToGrid/>
        <w:spacing w:line="240" w:lineRule="auto"/>
        <w:ind w:firstLine="640" w:firstLineChars="200"/>
        <w:jc w:val="both"/>
        <w:textAlignment w:val="auto"/>
        <w:rPr>
          <w:rFonts w:hint="eastAsia" w:eastAsia="仿宋_GB2312"/>
          <w:b w:val="0"/>
          <w:bCs w:val="0"/>
          <w:color w:val="auto"/>
          <w:kern w:val="0"/>
          <w:sz w:val="32"/>
          <w:szCs w:val="32"/>
        </w:rPr>
      </w:pPr>
      <w:r>
        <w:rPr>
          <w:rFonts w:hint="eastAsia" w:eastAsia="仿宋_GB2312"/>
          <w:b w:val="0"/>
          <w:bCs w:val="0"/>
          <w:color w:val="auto"/>
          <w:kern w:val="0"/>
          <w:sz w:val="32"/>
          <w:szCs w:val="32"/>
        </w:rPr>
        <w:t>2022年度</w:t>
      </w:r>
      <w:r>
        <w:rPr>
          <w:rFonts w:eastAsia="仿宋_GB2312"/>
          <w:b w:val="0"/>
          <w:bCs w:val="0"/>
          <w:color w:val="auto"/>
          <w:kern w:val="0"/>
          <w:sz w:val="32"/>
          <w:szCs w:val="32"/>
        </w:rPr>
        <w:t>本部门</w:t>
      </w:r>
      <w:r>
        <w:rPr>
          <w:rFonts w:hint="eastAsia" w:eastAsia="仿宋_GB2312"/>
          <w:b w:val="0"/>
          <w:bCs w:val="0"/>
          <w:color w:val="auto"/>
          <w:kern w:val="0"/>
          <w:sz w:val="32"/>
          <w:szCs w:val="32"/>
        </w:rPr>
        <w:t>无项目被列入财政</w:t>
      </w:r>
      <w:r>
        <w:rPr>
          <w:rFonts w:eastAsia="仿宋_GB2312"/>
          <w:b w:val="0"/>
          <w:bCs w:val="0"/>
          <w:color w:val="auto"/>
          <w:kern w:val="0"/>
          <w:sz w:val="32"/>
          <w:szCs w:val="32"/>
        </w:rPr>
        <w:t>评价</w:t>
      </w:r>
      <w:r>
        <w:rPr>
          <w:rFonts w:hint="eastAsia" w:eastAsia="仿宋_GB2312"/>
          <w:b w:val="0"/>
          <w:bCs w:val="0"/>
          <w:color w:val="auto"/>
          <w:kern w:val="0"/>
          <w:sz w:val="32"/>
          <w:szCs w:val="32"/>
        </w:rPr>
        <w:t>范围</w:t>
      </w:r>
    </w:p>
    <w:p>
      <w:pPr>
        <w:keepNext w:val="0"/>
        <w:keepLines w:val="0"/>
        <w:pageBreakBefore w:val="0"/>
        <w:kinsoku/>
        <w:wordWrap/>
        <w:overflowPunct/>
        <w:topLinePunct/>
        <w:bidi w:val="0"/>
        <w:adjustRightInd w:val="0"/>
        <w:snapToGrid/>
        <w:spacing w:line="240" w:lineRule="auto"/>
        <w:jc w:val="center"/>
        <w:textAlignment w:val="auto"/>
        <w:rPr>
          <w:rFonts w:eastAsia="黑体"/>
          <w:kern w:val="0"/>
          <w:sz w:val="32"/>
          <w:szCs w:val="32"/>
        </w:rPr>
      </w:pPr>
      <w:r>
        <w:rPr>
          <w:rFonts w:eastAsia="仿宋_GB2312"/>
          <w:b/>
          <w:kern w:val="0"/>
          <w:sz w:val="32"/>
          <w:szCs w:val="32"/>
        </w:rPr>
        <w:br w:type="page"/>
      </w:r>
      <w:r>
        <w:rPr>
          <w:rFonts w:eastAsia="黑体"/>
          <w:kern w:val="0"/>
          <w:sz w:val="32"/>
          <w:szCs w:val="32"/>
        </w:rPr>
        <w:t>第四部分  名词解释</w:t>
      </w:r>
    </w:p>
    <w:p>
      <w:pPr>
        <w:keepNext w:val="0"/>
        <w:keepLines w:val="0"/>
        <w:pageBreakBefore w:val="0"/>
        <w:kinsoku/>
        <w:wordWrap/>
        <w:overflowPunct/>
        <w:topLinePunct/>
        <w:bidi w:val="0"/>
        <w:snapToGrid/>
        <w:spacing w:line="240" w:lineRule="auto"/>
        <w:jc w:val="both"/>
        <w:textAlignment w:val="auto"/>
        <w:rPr>
          <w:rFonts w:eastAsia="仿宋_GB2312"/>
          <w:sz w:val="32"/>
          <w:szCs w:val="32"/>
        </w:rPr>
      </w:pP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一、财政拨款收入：指</w:t>
      </w:r>
      <w:r>
        <w:rPr>
          <w:rFonts w:hint="eastAsia" w:ascii="仿宋_GB2312" w:hAnsi="Times New Roman" w:eastAsia="仿宋_GB2312" w:cs="Times New Roman"/>
          <w:sz w:val="32"/>
          <w:szCs w:val="32"/>
        </w:rPr>
        <w:t>南宁市</w:t>
      </w:r>
      <w:r>
        <w:rPr>
          <w:rFonts w:eastAsia="仿宋_GB2312"/>
          <w:sz w:val="32"/>
          <w:szCs w:val="32"/>
        </w:rPr>
        <w:t xml:space="preserve">本级财政部门当年拨付的资金。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二、事业收入：指事业单位开展专业业务活动及辅助活动所取得的收入。</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三、经营收入：指事业单位在专业业务活动及其辅助活动之外开展非独立核算经营活动取得的收入。</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四、其他收入：指除上述财政拨款收入、事业收入、经营收入等以外的收入。主要是事业单位固定资产出租出借收入、存款利息收入等。</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 xml:space="preserve">五、使用非财政拨款结余：指事业单位使用以前年度积累的非财政拨款结余弥补本年度收支差额的资金。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 xml:space="preserve">六、年初结转和结余：指以前年度尚未完成、结转到本年仍按有关规定继续使用的资金，或项目已完成等产生的结余资金。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七、结余分配：指事业单位按会计制度规定缴纳的所得税、提取的专用结余以及转入非财政拨款结余的资金等。</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 xml:space="preserve">八、年末结转和结余：指单位按有关规定结转到下年或者以后年度继续使用的资金，或项目已完成等产生的结余资金。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 xml:space="preserve">十、项目支出：指在基本支出之外为完成特定行政任务和事业发展目标所发生的支出。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十二、“三公”经费：纳入</w:t>
      </w:r>
      <w:r>
        <w:rPr>
          <w:rFonts w:hint="eastAsia" w:ascii="仿宋_GB2312" w:hAnsi="Times New Roman" w:eastAsia="仿宋_GB2312" w:cs="Times New Roman"/>
          <w:sz w:val="32"/>
          <w:szCs w:val="32"/>
        </w:rPr>
        <w:t>南宁市</w:t>
      </w:r>
      <w:r>
        <w:rPr>
          <w:rFonts w:eastAsia="仿宋_GB2312"/>
          <w:sz w:val="32"/>
          <w:szCs w:val="32"/>
        </w:rPr>
        <w:t>本级财政预决算管理的“三公”经费，是指</w:t>
      </w:r>
      <w:r>
        <w:rPr>
          <w:rFonts w:hint="eastAsia" w:ascii="仿宋_GB2312" w:hAnsi="Times New Roman" w:eastAsia="仿宋_GB2312" w:cs="Times New Roman"/>
          <w:sz w:val="32"/>
          <w:szCs w:val="32"/>
        </w:rPr>
        <w:t>南宁市</w:t>
      </w:r>
      <w:r>
        <w:rPr>
          <w:rFonts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w:t>
      </w:r>
      <w:r>
        <w:rPr>
          <w:rFonts w:eastAsia="仿宋_GB2312"/>
          <w:spacing w:val="-6"/>
          <w:sz w:val="32"/>
          <w:szCs w:val="32"/>
        </w:rPr>
        <w:t>接待费反映单位按规定开支的各类公务接待（含外宾接待）支出</w:t>
      </w:r>
      <w:r>
        <w:rPr>
          <w:rFonts w:eastAsia="仿宋_GB2312"/>
          <w:sz w:val="32"/>
          <w:szCs w:val="32"/>
        </w:rPr>
        <w:t xml:space="preserve">。 </w:t>
      </w:r>
    </w:p>
    <w:p>
      <w:pPr>
        <w:keepNext w:val="0"/>
        <w:keepLines w:val="0"/>
        <w:pageBreakBefore w:val="0"/>
        <w:kinsoku/>
        <w:wordWrap/>
        <w:overflowPunct/>
        <w:topLinePunct/>
        <w:bidi w:val="0"/>
        <w:snapToGrid/>
        <w:spacing w:line="240" w:lineRule="auto"/>
        <w:ind w:firstLine="641"/>
        <w:jc w:val="both"/>
        <w:textAlignment w:val="auto"/>
        <w:rPr>
          <w:rFonts w:eastAsia="仿宋_GB2312"/>
          <w:sz w:val="32"/>
          <w:szCs w:val="32"/>
        </w:rPr>
      </w:pPr>
      <w:r>
        <w:rPr>
          <w:rFonts w:eastAsia="仿宋_GB2312"/>
          <w:sz w:val="32"/>
          <w:szCs w:val="32"/>
        </w:rPr>
        <w:t>十三、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hint="eastAsia" w:ascii="仿宋_GB2312"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EB891F-6DE4-4152-932F-98FD128FB06F}"/>
  </w:font>
  <w:font w:name="黑体">
    <w:panose1 w:val="02010609060101010101"/>
    <w:charset w:val="86"/>
    <w:family w:val="auto"/>
    <w:pitch w:val="default"/>
    <w:sig w:usb0="800002BF" w:usb1="38CF7CFA" w:usb2="00000016" w:usb3="00000000" w:csb0="00040001" w:csb1="00000000"/>
    <w:embedRegular r:id="rId2" w:fontKey="{C6C89162-384D-4C74-AA74-210A073173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embedRegular r:id="rId3" w:fontKey="{F20621A9-AC0F-4446-9E25-EAEF92E739C7}"/>
  </w:font>
  <w:font w:name="ArialUnicodeMS">
    <w:altName w:val="宋体"/>
    <w:panose1 w:val="00000000000000000000"/>
    <w:charset w:val="86"/>
    <w:family w:val="auto"/>
    <w:pitch w:val="default"/>
    <w:sig w:usb0="00000000" w:usb1="00000000" w:usb2="00000010" w:usb3="00000000" w:csb0="00040000" w:csb1="00000000"/>
    <w:embedRegular r:id="rId4" w:fontKey="{2EDD6A33-3623-4C00-901D-92605F70DD08}"/>
  </w:font>
  <w:font w:name="方正小标宋简体">
    <w:panose1 w:val="03000509000000000000"/>
    <w:charset w:val="86"/>
    <w:family w:val="auto"/>
    <w:pitch w:val="default"/>
    <w:sig w:usb0="00000001" w:usb1="080E0000" w:usb2="00000000" w:usb3="00000000" w:csb0="00040000" w:csb1="00000000"/>
    <w:embedRegular r:id="rId5" w:fontKey="{8BCE4E59-F76F-4BCE-8CAB-8F04D566C10C}"/>
  </w:font>
  <w:font w:name="微软雅黑">
    <w:panose1 w:val="020B0503020204020204"/>
    <w:charset w:val="86"/>
    <w:family w:val="swiss"/>
    <w:pitch w:val="default"/>
    <w:sig w:usb0="80000287" w:usb1="280F3C52" w:usb2="00000016" w:usb3="00000000" w:csb0="0004001F" w:csb1="00000000"/>
    <w:embedRegular r:id="rId6" w:fontKey="{7824E3FA-926C-4A2F-8510-A8E09329B9C3}"/>
  </w:font>
  <w:font w:name="方正仿宋_GB2312">
    <w:altName w:val="仿宋"/>
    <w:panose1 w:val="02000000000000000000"/>
    <w:charset w:val="86"/>
    <w:family w:val="auto"/>
    <w:pitch w:val="default"/>
    <w:sig w:usb0="00000000" w:usb1="00000000" w:usb2="00000012" w:usb3="00000000" w:csb0="00040001" w:csb1="00000000"/>
    <w:embedRegular r:id="rId7" w:fontKey="{B1A1A626-5BD1-48F8-94EC-BAD2E9F82F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5B86"/>
    <w:multiLevelType w:val="singleLevel"/>
    <w:tmpl w:val="07F25B86"/>
    <w:lvl w:ilvl="0" w:tentative="0">
      <w:start w:val="1"/>
      <w:numFmt w:val="chineseCounting"/>
      <w:suff w:val="nothing"/>
      <w:lvlText w:val="%1、"/>
      <w:lvlJc w:val="left"/>
      <w:rPr>
        <w:rFonts w:hint="eastAsia"/>
      </w:rPr>
    </w:lvl>
  </w:abstractNum>
  <w:abstractNum w:abstractNumId="1">
    <w:nsid w:val="3277D102"/>
    <w:multiLevelType w:val="multilevel"/>
    <w:tmpl w:val="3277D102"/>
    <w:lvl w:ilvl="0" w:tentative="0">
      <w:start w:val="1"/>
      <w:numFmt w:val="chineseCounting"/>
      <w:suff w:val="nothing"/>
      <w:lvlText w:val="%1、"/>
      <w:lvlJc w:val="left"/>
      <w:pPr>
        <w:tabs>
          <w:tab w:val="left" w:pos="0"/>
        </w:tabs>
        <w:ind w:left="0" w:firstLine="0"/>
      </w:pPr>
      <w:rPr>
        <w:rFonts w:hint="eastAsia" w:ascii="宋体" w:hAnsi="宋体" w:eastAsia="黑体" w:cs="宋体"/>
        <w:sz w:val="32"/>
      </w:rPr>
    </w:lvl>
    <w:lvl w:ilvl="1" w:tentative="0">
      <w:start w:val="1"/>
      <w:numFmt w:val="chineseCounting"/>
      <w:pStyle w:val="3"/>
      <w:suff w:val="nothing"/>
      <w:lvlText w:val="（%2）"/>
      <w:lvlJc w:val="left"/>
      <w:pPr>
        <w:tabs>
          <w:tab w:val="left" w:pos="0"/>
        </w:tabs>
        <w:ind w:left="0" w:firstLine="0"/>
      </w:pPr>
      <w:rPr>
        <w:rFonts w:hint="eastAsia" w:ascii="宋体" w:hAnsi="宋体" w:eastAsia="仿宋" w:cs="宋体"/>
        <w:b/>
        <w:sz w:val="32"/>
      </w:rPr>
    </w:lvl>
    <w:lvl w:ilvl="2" w:tentative="0">
      <w:start w:val="1"/>
      <w:numFmt w:val="decimal"/>
      <w:suff w:val="nothing"/>
      <w:lvlText w:val="%3．"/>
      <w:lvlJc w:val="left"/>
      <w:pPr>
        <w:tabs>
          <w:tab w:val="left" w:pos="0"/>
        </w:tabs>
        <w:ind w:left="0" w:firstLine="0"/>
      </w:pPr>
      <w:rPr>
        <w:rFonts w:hint="eastAsia" w:ascii="Times New Roman" w:hAnsi="Times New Roman" w:eastAsia="仿宋" w:cs="宋体"/>
        <w:b/>
        <w:sz w:val="30"/>
      </w:rPr>
    </w:lvl>
    <w:lvl w:ilvl="3" w:tentative="0">
      <w:start w:val="1"/>
      <w:numFmt w:val="decimal"/>
      <w:suff w:val="nothing"/>
      <w:lvlText w:val="（%4）"/>
      <w:lvlJc w:val="left"/>
      <w:pPr>
        <w:tabs>
          <w:tab w:val="left" w:pos="0"/>
        </w:tabs>
        <w:ind w:left="0" w:firstLine="0"/>
      </w:pPr>
      <w:rPr>
        <w:rFonts w:hint="eastAsia" w:ascii="Times New Roman" w:hAnsi="Times New Roman" w:eastAsia="仿宋" w:cs="宋体"/>
        <w:b/>
        <w:sz w:val="28"/>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ZjA1NDRlMTE4OTVlYjAyOWU5NDgwM2VjM2IwMjEifQ=="/>
  </w:docVars>
  <w:rsids>
    <w:rsidRoot w:val="00C9591D"/>
    <w:rsid w:val="00004337"/>
    <w:rsid w:val="001A343B"/>
    <w:rsid w:val="005C6527"/>
    <w:rsid w:val="005D21B5"/>
    <w:rsid w:val="00641570"/>
    <w:rsid w:val="00901EFC"/>
    <w:rsid w:val="00A25D43"/>
    <w:rsid w:val="00A717D4"/>
    <w:rsid w:val="00B561ED"/>
    <w:rsid w:val="00C9591D"/>
    <w:rsid w:val="00E0770D"/>
    <w:rsid w:val="00E73AFE"/>
    <w:rsid w:val="00E75022"/>
    <w:rsid w:val="00EB5C43"/>
    <w:rsid w:val="010E1127"/>
    <w:rsid w:val="01346890"/>
    <w:rsid w:val="013C06BC"/>
    <w:rsid w:val="01473384"/>
    <w:rsid w:val="016E54D2"/>
    <w:rsid w:val="01782E3F"/>
    <w:rsid w:val="01931471"/>
    <w:rsid w:val="01C120D0"/>
    <w:rsid w:val="020C615A"/>
    <w:rsid w:val="02104022"/>
    <w:rsid w:val="023B4412"/>
    <w:rsid w:val="02B45EB8"/>
    <w:rsid w:val="02C941D1"/>
    <w:rsid w:val="02DC5CB3"/>
    <w:rsid w:val="032B5FEF"/>
    <w:rsid w:val="0334297A"/>
    <w:rsid w:val="03726617"/>
    <w:rsid w:val="03A52548"/>
    <w:rsid w:val="03BC7E2E"/>
    <w:rsid w:val="040C4367"/>
    <w:rsid w:val="04243DB5"/>
    <w:rsid w:val="049D3B67"/>
    <w:rsid w:val="04BF763A"/>
    <w:rsid w:val="04C904B8"/>
    <w:rsid w:val="04FF1F9F"/>
    <w:rsid w:val="05B67A93"/>
    <w:rsid w:val="0652413C"/>
    <w:rsid w:val="066E1317"/>
    <w:rsid w:val="06BD229F"/>
    <w:rsid w:val="06E67100"/>
    <w:rsid w:val="07175632"/>
    <w:rsid w:val="075D63B2"/>
    <w:rsid w:val="076745CB"/>
    <w:rsid w:val="07A6728E"/>
    <w:rsid w:val="07B172B0"/>
    <w:rsid w:val="07CF5DE6"/>
    <w:rsid w:val="08534C69"/>
    <w:rsid w:val="085422C2"/>
    <w:rsid w:val="087819DE"/>
    <w:rsid w:val="08C03D58"/>
    <w:rsid w:val="09420839"/>
    <w:rsid w:val="09921A1E"/>
    <w:rsid w:val="0A03621B"/>
    <w:rsid w:val="0A3A1862"/>
    <w:rsid w:val="0A6D26C1"/>
    <w:rsid w:val="0A761D9A"/>
    <w:rsid w:val="0A920ABD"/>
    <w:rsid w:val="0A9522CC"/>
    <w:rsid w:val="0ABA098F"/>
    <w:rsid w:val="0ADD6A6C"/>
    <w:rsid w:val="0ADD7114"/>
    <w:rsid w:val="0AFF2E86"/>
    <w:rsid w:val="0B1F0E32"/>
    <w:rsid w:val="0B776EC0"/>
    <w:rsid w:val="0B827C10"/>
    <w:rsid w:val="0BBA0474"/>
    <w:rsid w:val="0C5E598A"/>
    <w:rsid w:val="0D0E73B0"/>
    <w:rsid w:val="0D57599F"/>
    <w:rsid w:val="0D7C19CC"/>
    <w:rsid w:val="0D83393E"/>
    <w:rsid w:val="0DC42165"/>
    <w:rsid w:val="0E172435"/>
    <w:rsid w:val="0E56100F"/>
    <w:rsid w:val="0E67220F"/>
    <w:rsid w:val="0EC00B7E"/>
    <w:rsid w:val="0EC07A7C"/>
    <w:rsid w:val="0EC266A4"/>
    <w:rsid w:val="0EC43BA9"/>
    <w:rsid w:val="0EC56195"/>
    <w:rsid w:val="0F6D029D"/>
    <w:rsid w:val="0F713C26"/>
    <w:rsid w:val="0FA77AD8"/>
    <w:rsid w:val="0FDF5034"/>
    <w:rsid w:val="0FF56606"/>
    <w:rsid w:val="104F1E11"/>
    <w:rsid w:val="109B71AD"/>
    <w:rsid w:val="11395683"/>
    <w:rsid w:val="119D51A7"/>
    <w:rsid w:val="11A958FA"/>
    <w:rsid w:val="11C20769"/>
    <w:rsid w:val="12020BE3"/>
    <w:rsid w:val="121328E5"/>
    <w:rsid w:val="123F4D19"/>
    <w:rsid w:val="125079F4"/>
    <w:rsid w:val="126F4032"/>
    <w:rsid w:val="12863E8D"/>
    <w:rsid w:val="12883761"/>
    <w:rsid w:val="12DE7825"/>
    <w:rsid w:val="137361BF"/>
    <w:rsid w:val="140220F9"/>
    <w:rsid w:val="147026FF"/>
    <w:rsid w:val="15027B80"/>
    <w:rsid w:val="16383C52"/>
    <w:rsid w:val="164071E2"/>
    <w:rsid w:val="16702E8A"/>
    <w:rsid w:val="167E22F8"/>
    <w:rsid w:val="16B5089D"/>
    <w:rsid w:val="175005C5"/>
    <w:rsid w:val="179C380B"/>
    <w:rsid w:val="17AF79E2"/>
    <w:rsid w:val="17D567AE"/>
    <w:rsid w:val="181B0BD3"/>
    <w:rsid w:val="181D1E1F"/>
    <w:rsid w:val="182C45CC"/>
    <w:rsid w:val="18356716"/>
    <w:rsid w:val="185C48CC"/>
    <w:rsid w:val="1862520D"/>
    <w:rsid w:val="189501D2"/>
    <w:rsid w:val="18E819FC"/>
    <w:rsid w:val="190B0C48"/>
    <w:rsid w:val="19722A75"/>
    <w:rsid w:val="19D714B0"/>
    <w:rsid w:val="19E71DF4"/>
    <w:rsid w:val="1A547635"/>
    <w:rsid w:val="1A7016AA"/>
    <w:rsid w:val="1A9467C0"/>
    <w:rsid w:val="1AE856E5"/>
    <w:rsid w:val="1BA0410E"/>
    <w:rsid w:val="1BD661CA"/>
    <w:rsid w:val="1C3A1F70"/>
    <w:rsid w:val="1C4E77C9"/>
    <w:rsid w:val="1C6F597C"/>
    <w:rsid w:val="1CC01D49"/>
    <w:rsid w:val="1CDC3779"/>
    <w:rsid w:val="1D8F418E"/>
    <w:rsid w:val="1DAF24EA"/>
    <w:rsid w:val="1DCE4E9C"/>
    <w:rsid w:val="1DEF0B38"/>
    <w:rsid w:val="1E2851F8"/>
    <w:rsid w:val="1E4C5F8A"/>
    <w:rsid w:val="1E6A6411"/>
    <w:rsid w:val="1EA91071"/>
    <w:rsid w:val="1F0B7BF4"/>
    <w:rsid w:val="1F1D7927"/>
    <w:rsid w:val="1F446F7A"/>
    <w:rsid w:val="1F487352"/>
    <w:rsid w:val="20947DAF"/>
    <w:rsid w:val="209C2E82"/>
    <w:rsid w:val="20A756FA"/>
    <w:rsid w:val="20AC7E9E"/>
    <w:rsid w:val="20C55B80"/>
    <w:rsid w:val="20DD3127"/>
    <w:rsid w:val="20E74791"/>
    <w:rsid w:val="21303352"/>
    <w:rsid w:val="21DC489C"/>
    <w:rsid w:val="223A2D60"/>
    <w:rsid w:val="226F3FF6"/>
    <w:rsid w:val="22B75440"/>
    <w:rsid w:val="22B77DB2"/>
    <w:rsid w:val="22C514F9"/>
    <w:rsid w:val="23447230"/>
    <w:rsid w:val="23864FBF"/>
    <w:rsid w:val="24466FD8"/>
    <w:rsid w:val="247010E2"/>
    <w:rsid w:val="24990D97"/>
    <w:rsid w:val="254A757B"/>
    <w:rsid w:val="25597366"/>
    <w:rsid w:val="2561056D"/>
    <w:rsid w:val="25624FED"/>
    <w:rsid w:val="25C66622"/>
    <w:rsid w:val="25CB5E03"/>
    <w:rsid w:val="25CF5FD2"/>
    <w:rsid w:val="2624159B"/>
    <w:rsid w:val="26395046"/>
    <w:rsid w:val="26A83F7A"/>
    <w:rsid w:val="26A96B64"/>
    <w:rsid w:val="27075730"/>
    <w:rsid w:val="270F5DA7"/>
    <w:rsid w:val="272A0E33"/>
    <w:rsid w:val="273D0B66"/>
    <w:rsid w:val="274E4D44"/>
    <w:rsid w:val="27B64A81"/>
    <w:rsid w:val="27DC037F"/>
    <w:rsid w:val="28235F0B"/>
    <w:rsid w:val="288325A9"/>
    <w:rsid w:val="28AF45D0"/>
    <w:rsid w:val="28BD6603"/>
    <w:rsid w:val="29A121F1"/>
    <w:rsid w:val="29EA4E0A"/>
    <w:rsid w:val="2A7A3E7F"/>
    <w:rsid w:val="2A885BC1"/>
    <w:rsid w:val="2A9071FF"/>
    <w:rsid w:val="2ABA24CE"/>
    <w:rsid w:val="2AD6555A"/>
    <w:rsid w:val="2B2D0EF2"/>
    <w:rsid w:val="2B6809E5"/>
    <w:rsid w:val="2BEA7520"/>
    <w:rsid w:val="2C513B81"/>
    <w:rsid w:val="2CAF5414"/>
    <w:rsid w:val="2CF47F19"/>
    <w:rsid w:val="2D097FBD"/>
    <w:rsid w:val="2E334A71"/>
    <w:rsid w:val="2E894691"/>
    <w:rsid w:val="2EFC1307"/>
    <w:rsid w:val="2F2653C1"/>
    <w:rsid w:val="2F4522AF"/>
    <w:rsid w:val="2FFC72B0"/>
    <w:rsid w:val="3006322E"/>
    <w:rsid w:val="30970224"/>
    <w:rsid w:val="313F3CF7"/>
    <w:rsid w:val="316C361E"/>
    <w:rsid w:val="318F6462"/>
    <w:rsid w:val="31A33CBC"/>
    <w:rsid w:val="31E42251"/>
    <w:rsid w:val="3210122D"/>
    <w:rsid w:val="32340893"/>
    <w:rsid w:val="32A62A2F"/>
    <w:rsid w:val="32EF0482"/>
    <w:rsid w:val="332901F1"/>
    <w:rsid w:val="33380434"/>
    <w:rsid w:val="3338220B"/>
    <w:rsid w:val="3355548A"/>
    <w:rsid w:val="335A484E"/>
    <w:rsid w:val="33ED121E"/>
    <w:rsid w:val="34205F59"/>
    <w:rsid w:val="3434509F"/>
    <w:rsid w:val="345D1EA3"/>
    <w:rsid w:val="35231C90"/>
    <w:rsid w:val="35735AC6"/>
    <w:rsid w:val="3578720D"/>
    <w:rsid w:val="35DE2A8C"/>
    <w:rsid w:val="362F2524"/>
    <w:rsid w:val="363F2730"/>
    <w:rsid w:val="36407D2B"/>
    <w:rsid w:val="36527A5E"/>
    <w:rsid w:val="3684230E"/>
    <w:rsid w:val="36CA3A99"/>
    <w:rsid w:val="36CC32AC"/>
    <w:rsid w:val="37094512"/>
    <w:rsid w:val="37184804"/>
    <w:rsid w:val="372633C5"/>
    <w:rsid w:val="373D426B"/>
    <w:rsid w:val="37985945"/>
    <w:rsid w:val="379E11AD"/>
    <w:rsid w:val="37D84221"/>
    <w:rsid w:val="37F76B0F"/>
    <w:rsid w:val="386677F1"/>
    <w:rsid w:val="386F2B4A"/>
    <w:rsid w:val="38710670"/>
    <w:rsid w:val="38AD5420"/>
    <w:rsid w:val="38B22A36"/>
    <w:rsid w:val="38B642D4"/>
    <w:rsid w:val="39040613"/>
    <w:rsid w:val="391F00CC"/>
    <w:rsid w:val="39216B01"/>
    <w:rsid w:val="39965A4E"/>
    <w:rsid w:val="39A700C1"/>
    <w:rsid w:val="3A0F2EAC"/>
    <w:rsid w:val="3A3A0F35"/>
    <w:rsid w:val="3A627819"/>
    <w:rsid w:val="3AD9074E"/>
    <w:rsid w:val="3B487DD2"/>
    <w:rsid w:val="3BA5208F"/>
    <w:rsid w:val="3BEF7718"/>
    <w:rsid w:val="3C3D701D"/>
    <w:rsid w:val="3CCD6091"/>
    <w:rsid w:val="3D4A76E1"/>
    <w:rsid w:val="3D51281E"/>
    <w:rsid w:val="3D9315D9"/>
    <w:rsid w:val="3DA4269B"/>
    <w:rsid w:val="3DBD6105"/>
    <w:rsid w:val="3DD47A3F"/>
    <w:rsid w:val="3DE93370"/>
    <w:rsid w:val="3E2121B3"/>
    <w:rsid w:val="3E6325F5"/>
    <w:rsid w:val="3E9055C8"/>
    <w:rsid w:val="3E9D053F"/>
    <w:rsid w:val="3EC314F9"/>
    <w:rsid w:val="3F6A6298"/>
    <w:rsid w:val="4033511A"/>
    <w:rsid w:val="40491ED2"/>
    <w:rsid w:val="40794B35"/>
    <w:rsid w:val="40D54732"/>
    <w:rsid w:val="418521E4"/>
    <w:rsid w:val="419862DE"/>
    <w:rsid w:val="41BB6E00"/>
    <w:rsid w:val="41D373E7"/>
    <w:rsid w:val="41EC520B"/>
    <w:rsid w:val="42253617"/>
    <w:rsid w:val="423544BC"/>
    <w:rsid w:val="42441AAC"/>
    <w:rsid w:val="42562684"/>
    <w:rsid w:val="42787C0A"/>
    <w:rsid w:val="42B32F81"/>
    <w:rsid w:val="42C46168"/>
    <w:rsid w:val="42EF06BB"/>
    <w:rsid w:val="43374264"/>
    <w:rsid w:val="43D750E0"/>
    <w:rsid w:val="442742D8"/>
    <w:rsid w:val="44352E99"/>
    <w:rsid w:val="44D8093C"/>
    <w:rsid w:val="44E95A32"/>
    <w:rsid w:val="452A22D2"/>
    <w:rsid w:val="455813AE"/>
    <w:rsid w:val="456A6AE6"/>
    <w:rsid w:val="456E4E81"/>
    <w:rsid w:val="45921C25"/>
    <w:rsid w:val="45FB5A29"/>
    <w:rsid w:val="45FF5291"/>
    <w:rsid w:val="460F771A"/>
    <w:rsid w:val="465E33BE"/>
    <w:rsid w:val="468266D9"/>
    <w:rsid w:val="46F7142F"/>
    <w:rsid w:val="47771357"/>
    <w:rsid w:val="47A0687C"/>
    <w:rsid w:val="47A143A2"/>
    <w:rsid w:val="47C17CFE"/>
    <w:rsid w:val="48AB197C"/>
    <w:rsid w:val="4A176B9D"/>
    <w:rsid w:val="4A3B6D2F"/>
    <w:rsid w:val="4AB10DA0"/>
    <w:rsid w:val="4AC072D1"/>
    <w:rsid w:val="4AFA1A7E"/>
    <w:rsid w:val="4BA91A77"/>
    <w:rsid w:val="4BAF1783"/>
    <w:rsid w:val="4BC00C26"/>
    <w:rsid w:val="4C123AC0"/>
    <w:rsid w:val="4C373527"/>
    <w:rsid w:val="4C45481B"/>
    <w:rsid w:val="4C49541F"/>
    <w:rsid w:val="4C8B3DD4"/>
    <w:rsid w:val="4CB13176"/>
    <w:rsid w:val="4CC104FC"/>
    <w:rsid w:val="4D041640"/>
    <w:rsid w:val="4D185106"/>
    <w:rsid w:val="4D434A6B"/>
    <w:rsid w:val="4D460313"/>
    <w:rsid w:val="4D472FA1"/>
    <w:rsid w:val="4D476A5E"/>
    <w:rsid w:val="4D9008A2"/>
    <w:rsid w:val="4DA92202"/>
    <w:rsid w:val="4DF27705"/>
    <w:rsid w:val="4E437F61"/>
    <w:rsid w:val="4E477DF6"/>
    <w:rsid w:val="4E676345"/>
    <w:rsid w:val="4E73063A"/>
    <w:rsid w:val="4EB24D65"/>
    <w:rsid w:val="4F3F643C"/>
    <w:rsid w:val="4F604B42"/>
    <w:rsid w:val="4F844CD5"/>
    <w:rsid w:val="4FE47E26"/>
    <w:rsid w:val="4FE65048"/>
    <w:rsid w:val="4FFC0D0F"/>
    <w:rsid w:val="50052FF4"/>
    <w:rsid w:val="5041514D"/>
    <w:rsid w:val="508435C2"/>
    <w:rsid w:val="50D91B6D"/>
    <w:rsid w:val="51FB1BF5"/>
    <w:rsid w:val="52075749"/>
    <w:rsid w:val="52CA0F7A"/>
    <w:rsid w:val="539D45B7"/>
    <w:rsid w:val="53B1058C"/>
    <w:rsid w:val="53BC1873"/>
    <w:rsid w:val="53F71F19"/>
    <w:rsid w:val="541859EC"/>
    <w:rsid w:val="542A333A"/>
    <w:rsid w:val="543071D9"/>
    <w:rsid w:val="543D36A4"/>
    <w:rsid w:val="544E765F"/>
    <w:rsid w:val="54930741"/>
    <w:rsid w:val="54931516"/>
    <w:rsid w:val="54972199"/>
    <w:rsid w:val="54F664EA"/>
    <w:rsid w:val="55937A20"/>
    <w:rsid w:val="55AB748F"/>
    <w:rsid w:val="55DD0209"/>
    <w:rsid w:val="55E42029"/>
    <w:rsid w:val="563310BE"/>
    <w:rsid w:val="56666585"/>
    <w:rsid w:val="569A3030"/>
    <w:rsid w:val="56A1616C"/>
    <w:rsid w:val="56C36665"/>
    <w:rsid w:val="57541431"/>
    <w:rsid w:val="5783173F"/>
    <w:rsid w:val="57ED28E9"/>
    <w:rsid w:val="58112E7E"/>
    <w:rsid w:val="581D4903"/>
    <w:rsid w:val="583214E0"/>
    <w:rsid w:val="584C2CA9"/>
    <w:rsid w:val="589715D5"/>
    <w:rsid w:val="58CC1389"/>
    <w:rsid w:val="58D75E75"/>
    <w:rsid w:val="59063EF6"/>
    <w:rsid w:val="59090807"/>
    <w:rsid w:val="59101751"/>
    <w:rsid w:val="59701E26"/>
    <w:rsid w:val="5991139A"/>
    <w:rsid w:val="59E545C2"/>
    <w:rsid w:val="5A674620"/>
    <w:rsid w:val="5A7A6A7D"/>
    <w:rsid w:val="5A865DA5"/>
    <w:rsid w:val="5AA026E6"/>
    <w:rsid w:val="5ADA376B"/>
    <w:rsid w:val="5AF8590C"/>
    <w:rsid w:val="5B885B4D"/>
    <w:rsid w:val="5BB92FBA"/>
    <w:rsid w:val="5BC05621"/>
    <w:rsid w:val="5BDC2832"/>
    <w:rsid w:val="5C45759A"/>
    <w:rsid w:val="5C7F0CFE"/>
    <w:rsid w:val="5D1F428F"/>
    <w:rsid w:val="5D2C46F9"/>
    <w:rsid w:val="5D936ECB"/>
    <w:rsid w:val="5E59732C"/>
    <w:rsid w:val="5E5F3717"/>
    <w:rsid w:val="5E8C101C"/>
    <w:rsid w:val="5F1F2324"/>
    <w:rsid w:val="5F3F6522"/>
    <w:rsid w:val="5FB57FD0"/>
    <w:rsid w:val="5FDC7A3B"/>
    <w:rsid w:val="5FE61094"/>
    <w:rsid w:val="601804C5"/>
    <w:rsid w:val="601A07FD"/>
    <w:rsid w:val="604C7149"/>
    <w:rsid w:val="6057789C"/>
    <w:rsid w:val="60DD4245"/>
    <w:rsid w:val="614D13CA"/>
    <w:rsid w:val="61AD3C17"/>
    <w:rsid w:val="61B9452E"/>
    <w:rsid w:val="61D44540"/>
    <w:rsid w:val="61E3614F"/>
    <w:rsid w:val="61F061FA"/>
    <w:rsid w:val="634B661E"/>
    <w:rsid w:val="634C7460"/>
    <w:rsid w:val="635E6977"/>
    <w:rsid w:val="637E512E"/>
    <w:rsid w:val="63DF6526"/>
    <w:rsid w:val="64330CDF"/>
    <w:rsid w:val="64805613"/>
    <w:rsid w:val="64B4710A"/>
    <w:rsid w:val="64CD0040"/>
    <w:rsid w:val="64DB0A9B"/>
    <w:rsid w:val="64E42046"/>
    <w:rsid w:val="65B26F0E"/>
    <w:rsid w:val="65BA543E"/>
    <w:rsid w:val="65CD36ED"/>
    <w:rsid w:val="65D42AD7"/>
    <w:rsid w:val="66061B48"/>
    <w:rsid w:val="66CC0FE3"/>
    <w:rsid w:val="66FB3677"/>
    <w:rsid w:val="6723579F"/>
    <w:rsid w:val="677C6D9D"/>
    <w:rsid w:val="67D6379C"/>
    <w:rsid w:val="67F41FE9"/>
    <w:rsid w:val="68085778"/>
    <w:rsid w:val="688A4CB2"/>
    <w:rsid w:val="69B75583"/>
    <w:rsid w:val="6A3824EC"/>
    <w:rsid w:val="6AD96E0B"/>
    <w:rsid w:val="6B182670"/>
    <w:rsid w:val="6B361121"/>
    <w:rsid w:val="6B3B5CE3"/>
    <w:rsid w:val="6B3B6738"/>
    <w:rsid w:val="6B6537B4"/>
    <w:rsid w:val="6B7C1B7E"/>
    <w:rsid w:val="6C865790"/>
    <w:rsid w:val="6CCE7137"/>
    <w:rsid w:val="6D035033"/>
    <w:rsid w:val="6D090170"/>
    <w:rsid w:val="6D237483"/>
    <w:rsid w:val="6D8C327A"/>
    <w:rsid w:val="6D992FE7"/>
    <w:rsid w:val="6DCD7245"/>
    <w:rsid w:val="6E0340F1"/>
    <w:rsid w:val="6E1D2124"/>
    <w:rsid w:val="6E49116B"/>
    <w:rsid w:val="6E6D2905"/>
    <w:rsid w:val="6EAE1443"/>
    <w:rsid w:val="6EE40E94"/>
    <w:rsid w:val="6EEC405E"/>
    <w:rsid w:val="6F0D4695"/>
    <w:rsid w:val="6F40431D"/>
    <w:rsid w:val="6F563B40"/>
    <w:rsid w:val="6FA50623"/>
    <w:rsid w:val="6FC60F60"/>
    <w:rsid w:val="700C35BD"/>
    <w:rsid w:val="700E4714"/>
    <w:rsid w:val="70360AFE"/>
    <w:rsid w:val="704716DB"/>
    <w:rsid w:val="71BE777B"/>
    <w:rsid w:val="722C6DDA"/>
    <w:rsid w:val="727B0EE6"/>
    <w:rsid w:val="72D8486C"/>
    <w:rsid w:val="72E23E9F"/>
    <w:rsid w:val="738812FC"/>
    <w:rsid w:val="74DE68E8"/>
    <w:rsid w:val="751F6782"/>
    <w:rsid w:val="75312B0F"/>
    <w:rsid w:val="758D7B90"/>
    <w:rsid w:val="75BD280B"/>
    <w:rsid w:val="75CB06B8"/>
    <w:rsid w:val="76353E94"/>
    <w:rsid w:val="76424E1E"/>
    <w:rsid w:val="767F4D5D"/>
    <w:rsid w:val="76A71125"/>
    <w:rsid w:val="76BF646F"/>
    <w:rsid w:val="773F3A4B"/>
    <w:rsid w:val="775F37AE"/>
    <w:rsid w:val="77905715"/>
    <w:rsid w:val="78063C29"/>
    <w:rsid w:val="782C7B34"/>
    <w:rsid w:val="786500EF"/>
    <w:rsid w:val="78D43D28"/>
    <w:rsid w:val="78F45A6B"/>
    <w:rsid w:val="793A002E"/>
    <w:rsid w:val="7961380D"/>
    <w:rsid w:val="79D93881"/>
    <w:rsid w:val="7A336566"/>
    <w:rsid w:val="7A740255"/>
    <w:rsid w:val="7A8C079F"/>
    <w:rsid w:val="7B1728DD"/>
    <w:rsid w:val="7B542DBF"/>
    <w:rsid w:val="7B56407B"/>
    <w:rsid w:val="7BBC2F7D"/>
    <w:rsid w:val="7C0466D2"/>
    <w:rsid w:val="7C134B67"/>
    <w:rsid w:val="7C3A1BEA"/>
    <w:rsid w:val="7C4259AE"/>
    <w:rsid w:val="7C4E5B2F"/>
    <w:rsid w:val="7CAA1027"/>
    <w:rsid w:val="7CCF4F32"/>
    <w:rsid w:val="7D662CB3"/>
    <w:rsid w:val="7D78086B"/>
    <w:rsid w:val="7D984F94"/>
    <w:rsid w:val="7E7318ED"/>
    <w:rsid w:val="7EAA16AC"/>
    <w:rsid w:val="7EC64112"/>
    <w:rsid w:val="7ECD2C87"/>
    <w:rsid w:val="7ED27641"/>
    <w:rsid w:val="7F2D0D90"/>
    <w:rsid w:val="7F5563B8"/>
    <w:rsid w:val="7F68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numPr>
        <w:ilvl w:val="1"/>
        <w:numId w:val="1"/>
      </w:numPr>
      <w:spacing w:before="50" w:beforeLines="50"/>
      <w:ind w:firstLine="560"/>
      <w:outlineLvl w:val="1"/>
    </w:pPr>
    <w:rPr>
      <w:rFonts w:eastAsia="楷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7110</Words>
  <Characters>14233</Characters>
  <Lines>81</Lines>
  <Paragraphs>22</Paragraphs>
  <TotalTime>16</TotalTime>
  <ScaleCrop>false</ScaleCrop>
  <LinksUpToDate>false</LinksUpToDate>
  <CharactersWithSpaces>14432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斯乐</cp:lastModifiedBy>
  <dcterms:modified xsi:type="dcterms:W3CDTF">2023-11-22T08:55:39Z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7B57673DF91C4D3485B70A7E53EBBA3D_13</vt:lpwstr>
  </property>
</Properties>
</file>