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F238C">
      <w:pPr>
        <w:pStyle w:val="4"/>
        <w:jc w:val="center"/>
        <w:rPr>
          <w:rFonts w:hAnsi="宋体"/>
          <w:color w:val="000000"/>
          <w:sz w:val="72"/>
          <w:szCs w:val="72"/>
        </w:rPr>
      </w:pPr>
      <w:bookmarkStart w:id="16" w:name="_GoBack"/>
      <w:bookmarkEnd w:id="16"/>
    </w:p>
    <w:p w14:paraId="416AF0F0">
      <w:pPr>
        <w:pStyle w:val="4"/>
        <w:jc w:val="center"/>
        <w:rPr>
          <w:rFonts w:hAnsi="宋体"/>
          <w:color w:val="000000"/>
          <w:sz w:val="72"/>
          <w:szCs w:val="72"/>
        </w:rPr>
      </w:pPr>
    </w:p>
    <w:p w14:paraId="0BD0F850">
      <w:pPr>
        <w:pStyle w:val="4"/>
        <w:jc w:val="center"/>
        <w:rPr>
          <w:rFonts w:hAnsi="宋体"/>
          <w:color w:val="000000"/>
          <w:sz w:val="72"/>
          <w:szCs w:val="72"/>
        </w:rPr>
      </w:pPr>
    </w:p>
    <w:p w14:paraId="2603567E">
      <w:pPr>
        <w:pStyle w:val="4"/>
        <w:jc w:val="center"/>
        <w:rPr>
          <w:rFonts w:hAnsi="宋体"/>
          <w:color w:val="000000"/>
          <w:sz w:val="72"/>
          <w:szCs w:val="72"/>
        </w:rPr>
      </w:pPr>
      <w:r>
        <w:rPr>
          <w:rFonts w:hint="eastAsia" w:hAnsi="宋体"/>
          <w:color w:val="000000"/>
          <w:sz w:val="72"/>
          <w:szCs w:val="72"/>
        </w:rPr>
        <w:t>竞争性磋商采购文件</w:t>
      </w:r>
    </w:p>
    <w:p w14:paraId="168A04B0">
      <w:pPr>
        <w:pStyle w:val="4"/>
        <w:rPr>
          <w:rFonts w:hAnsi="宋体"/>
          <w:b/>
          <w:color w:val="000000"/>
        </w:rPr>
      </w:pPr>
    </w:p>
    <w:p w14:paraId="5C5C0E1D">
      <w:pPr>
        <w:pStyle w:val="4"/>
        <w:rPr>
          <w:rFonts w:hAnsi="宋体"/>
          <w:b/>
          <w:color w:val="000000"/>
        </w:rPr>
      </w:pPr>
    </w:p>
    <w:p w14:paraId="6038885A">
      <w:pPr>
        <w:pStyle w:val="4"/>
        <w:rPr>
          <w:rFonts w:hAnsi="宋体"/>
          <w:b/>
          <w:color w:val="000000"/>
        </w:rPr>
      </w:pPr>
    </w:p>
    <w:p w14:paraId="7108C37E">
      <w:pPr>
        <w:pStyle w:val="4"/>
        <w:rPr>
          <w:rFonts w:hAnsi="宋体"/>
          <w:b/>
          <w:color w:val="000000"/>
        </w:rPr>
      </w:pPr>
    </w:p>
    <w:p w14:paraId="30EA4A57">
      <w:pPr>
        <w:pStyle w:val="4"/>
        <w:rPr>
          <w:rFonts w:hAnsi="宋体"/>
          <w:b/>
          <w:color w:val="000000"/>
        </w:rPr>
      </w:pPr>
    </w:p>
    <w:p w14:paraId="34846242">
      <w:pPr>
        <w:pStyle w:val="4"/>
        <w:rPr>
          <w:rFonts w:hAnsi="宋体"/>
          <w:b/>
          <w:color w:val="000000"/>
        </w:rPr>
      </w:pPr>
    </w:p>
    <w:p w14:paraId="047E23D7">
      <w:pPr>
        <w:pStyle w:val="4"/>
        <w:rPr>
          <w:rFonts w:hAnsi="宋体"/>
          <w:b/>
          <w:color w:val="000000"/>
        </w:rPr>
      </w:pPr>
    </w:p>
    <w:p w14:paraId="50819D02">
      <w:pPr>
        <w:pStyle w:val="4"/>
        <w:rPr>
          <w:rFonts w:hAnsi="宋体"/>
          <w:b/>
          <w:color w:val="000000"/>
        </w:rPr>
      </w:pPr>
    </w:p>
    <w:p w14:paraId="717F7E06">
      <w:pPr>
        <w:pStyle w:val="4"/>
        <w:rPr>
          <w:rFonts w:hAnsi="宋体"/>
          <w:b/>
          <w:color w:val="000000"/>
        </w:rPr>
      </w:pPr>
    </w:p>
    <w:p w14:paraId="43120006">
      <w:pPr>
        <w:pStyle w:val="4"/>
        <w:rPr>
          <w:rFonts w:hAnsi="宋体"/>
          <w:b/>
          <w:color w:val="000000"/>
        </w:rPr>
      </w:pPr>
    </w:p>
    <w:p w14:paraId="19C72349">
      <w:pPr>
        <w:pStyle w:val="4"/>
        <w:rPr>
          <w:rFonts w:hAnsi="宋体"/>
          <w:b/>
          <w:color w:val="000000"/>
        </w:rPr>
      </w:pPr>
    </w:p>
    <w:p w14:paraId="6EA59997">
      <w:pPr>
        <w:pStyle w:val="4"/>
        <w:ind w:firstLine="298" w:firstLineChars="99"/>
        <w:rPr>
          <w:rFonts w:ascii="仿宋_GB2312" w:hAnsi="宋体" w:eastAsia="仿宋_GB2312"/>
          <w:b/>
          <w:color w:val="000000"/>
          <w:sz w:val="30"/>
          <w:szCs w:val="72"/>
        </w:rPr>
      </w:pPr>
    </w:p>
    <w:p w14:paraId="2F50DDD6">
      <w:pPr>
        <w:pStyle w:val="4"/>
        <w:ind w:left="1684" w:leftChars="133" w:hanging="1405" w:hangingChars="500"/>
        <w:rPr>
          <w:rFonts w:hAnsi="宋体"/>
          <w:bCs/>
          <w:color w:val="000000"/>
          <w:sz w:val="28"/>
          <w:szCs w:val="28"/>
        </w:rPr>
      </w:pPr>
      <w:r>
        <w:rPr>
          <w:rFonts w:hint="eastAsia" w:hAnsi="宋体"/>
          <w:b/>
          <w:color w:val="000000"/>
          <w:sz w:val="28"/>
          <w:szCs w:val="28"/>
        </w:rPr>
        <w:t>项目名称：南宁市第一人民医院区级继续教育《移动互联网时代医院文化建设》项目</w:t>
      </w:r>
    </w:p>
    <w:p w14:paraId="79B19B56">
      <w:pPr>
        <w:pStyle w:val="4"/>
        <w:ind w:firstLine="3313" w:firstLineChars="1100"/>
        <w:rPr>
          <w:rFonts w:hAnsi="宋体"/>
          <w:b/>
          <w:color w:val="000000"/>
          <w:sz w:val="30"/>
          <w:szCs w:val="72"/>
        </w:rPr>
      </w:pPr>
    </w:p>
    <w:p w14:paraId="6F4C0E4F">
      <w:pPr>
        <w:pStyle w:val="4"/>
        <w:ind w:firstLine="3313" w:firstLineChars="1100"/>
        <w:rPr>
          <w:rFonts w:hAnsi="宋体"/>
          <w:b/>
          <w:color w:val="000000"/>
          <w:sz w:val="30"/>
          <w:szCs w:val="72"/>
        </w:rPr>
      </w:pPr>
    </w:p>
    <w:p w14:paraId="380D2510">
      <w:pPr>
        <w:pStyle w:val="4"/>
        <w:ind w:firstLine="3313" w:firstLineChars="1100"/>
        <w:rPr>
          <w:rFonts w:hAnsi="宋体"/>
          <w:b/>
          <w:color w:val="000000"/>
          <w:sz w:val="30"/>
          <w:szCs w:val="72"/>
        </w:rPr>
      </w:pPr>
    </w:p>
    <w:p w14:paraId="6A524139">
      <w:pPr>
        <w:pStyle w:val="4"/>
        <w:ind w:firstLine="3614" w:firstLineChars="1200"/>
        <w:rPr>
          <w:rFonts w:hAnsi="宋体"/>
          <w:b/>
          <w:color w:val="000000"/>
          <w:sz w:val="30"/>
          <w:szCs w:val="72"/>
        </w:rPr>
      </w:pPr>
      <w:r>
        <w:rPr>
          <w:rFonts w:hint="eastAsia" w:hAnsi="宋体"/>
          <w:b/>
          <w:color w:val="000000"/>
          <w:sz w:val="30"/>
          <w:szCs w:val="72"/>
        </w:rPr>
        <w:t>2019年11月</w:t>
      </w:r>
    </w:p>
    <w:p w14:paraId="2E1FA011">
      <w:pPr>
        <w:jc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1418" w:right="1304" w:bottom="1418" w:left="1304" w:header="720" w:footer="720" w:gutter="0"/>
          <w:pgNumType w:start="0"/>
          <w:cols w:space="720" w:num="1"/>
          <w:titlePg/>
          <w:docGrid w:type="lines" w:linePitch="312" w:charSpace="0"/>
        </w:sectPr>
      </w:pPr>
    </w:p>
    <w:p w14:paraId="12182564">
      <w:pPr>
        <w:pStyle w:val="4"/>
        <w:snapToGrid w:val="0"/>
        <w:spacing w:line="360" w:lineRule="auto"/>
        <w:jc w:val="center"/>
        <w:rPr>
          <w:rFonts w:ascii="仿宋_GB2312" w:hAnsi="宋体" w:eastAsia="仿宋_GB2312"/>
          <w:b/>
          <w:color w:val="000000"/>
          <w:sz w:val="44"/>
          <w:szCs w:val="44"/>
        </w:rPr>
      </w:pPr>
      <w:r>
        <w:rPr>
          <w:rFonts w:hint="eastAsia" w:ascii="仿宋_GB2312" w:hAnsi="宋体" w:eastAsia="仿宋_GB2312"/>
          <w:b/>
          <w:color w:val="000000"/>
          <w:sz w:val="44"/>
          <w:szCs w:val="44"/>
        </w:rPr>
        <w:t>目  录</w:t>
      </w:r>
    </w:p>
    <w:p w14:paraId="5D9D33CB">
      <w:pPr>
        <w:pStyle w:val="7"/>
        <w:tabs>
          <w:tab w:val="right" w:leader="dot" w:pos="9531"/>
        </w:tabs>
        <w:rPr>
          <w:color w:val="000000"/>
          <w:sz w:val="36"/>
          <w:szCs w:val="36"/>
        </w:rPr>
      </w:pPr>
      <w:r>
        <w:rPr>
          <w:rFonts w:ascii="仿宋_GB2312" w:hAnsi="宋体" w:eastAsia="仿宋_GB2312"/>
          <w:b/>
          <w:color w:val="000000"/>
          <w:szCs w:val="32"/>
        </w:rPr>
        <w:fldChar w:fldCharType="begin"/>
      </w:r>
      <w:r>
        <w:rPr>
          <w:rFonts w:hint="eastAsia" w:ascii="仿宋_GB2312" w:hAnsi="宋体" w:eastAsia="仿宋_GB2312"/>
          <w:b/>
          <w:color w:val="000000"/>
          <w:szCs w:val="32"/>
        </w:rPr>
        <w:instrText xml:space="preserve">TOC \o "1-3" \h \z \u</w:instrText>
      </w:r>
      <w:r>
        <w:rPr>
          <w:rFonts w:ascii="仿宋_GB2312" w:hAnsi="宋体" w:eastAsia="仿宋_GB2312"/>
          <w:b/>
          <w:color w:val="000000"/>
          <w:szCs w:val="32"/>
        </w:rPr>
        <w:fldChar w:fldCharType="separate"/>
      </w:r>
      <w:r>
        <w:fldChar w:fldCharType="begin"/>
      </w:r>
      <w:r>
        <w:instrText xml:space="preserve"> HYPERLINK \l "_Toc464692180" </w:instrText>
      </w:r>
      <w:r>
        <w:fldChar w:fldCharType="separate"/>
      </w:r>
      <w:r>
        <w:rPr>
          <w:rStyle w:val="13"/>
          <w:rFonts w:hint="eastAsia" w:ascii="仿宋_GB2312" w:hAnsi="宋体" w:eastAsia="仿宋_GB2312"/>
          <w:b/>
          <w:color w:val="000000"/>
          <w:sz w:val="36"/>
          <w:szCs w:val="36"/>
        </w:rPr>
        <w:t>竞争性磋商公告</w:t>
      </w:r>
      <w:r>
        <w:rPr>
          <w:color w:val="000000"/>
          <w:sz w:val="36"/>
          <w:szCs w:val="36"/>
        </w:rPr>
        <w:tab/>
      </w:r>
      <w:r>
        <w:rPr>
          <w:color w:val="000000"/>
          <w:sz w:val="36"/>
          <w:szCs w:val="36"/>
        </w:rPr>
        <w:fldChar w:fldCharType="begin"/>
      </w:r>
      <w:r>
        <w:rPr>
          <w:color w:val="000000"/>
          <w:sz w:val="36"/>
          <w:szCs w:val="36"/>
        </w:rPr>
        <w:instrText xml:space="preserve"> PAGEREF _Toc464692180 \h </w:instrText>
      </w:r>
      <w:r>
        <w:rPr>
          <w:color w:val="000000"/>
          <w:sz w:val="36"/>
          <w:szCs w:val="36"/>
        </w:rPr>
        <w:fldChar w:fldCharType="separate"/>
      </w:r>
      <w:r>
        <w:rPr>
          <w:color w:val="000000"/>
          <w:sz w:val="36"/>
          <w:szCs w:val="36"/>
        </w:rPr>
        <w:t>2</w:t>
      </w:r>
      <w:r>
        <w:rPr>
          <w:color w:val="000000"/>
          <w:sz w:val="36"/>
          <w:szCs w:val="36"/>
        </w:rPr>
        <w:fldChar w:fldCharType="end"/>
      </w:r>
      <w:r>
        <w:rPr>
          <w:color w:val="000000"/>
          <w:sz w:val="36"/>
          <w:szCs w:val="36"/>
        </w:rPr>
        <w:fldChar w:fldCharType="end"/>
      </w:r>
    </w:p>
    <w:p w14:paraId="2985B5C5">
      <w:pPr>
        <w:pStyle w:val="7"/>
        <w:tabs>
          <w:tab w:val="right" w:leader="dot" w:pos="9531"/>
        </w:tabs>
        <w:rPr>
          <w:color w:val="000000"/>
          <w:sz w:val="36"/>
          <w:szCs w:val="36"/>
        </w:rPr>
      </w:pPr>
      <w:r>
        <w:fldChar w:fldCharType="begin"/>
      </w:r>
      <w:r>
        <w:instrText xml:space="preserve"> HYPERLINK \l "_Toc464692181" </w:instrText>
      </w:r>
      <w:r>
        <w:fldChar w:fldCharType="separate"/>
      </w:r>
      <w:r>
        <w:rPr>
          <w:rStyle w:val="13"/>
          <w:rFonts w:hint="eastAsia" w:ascii="仿宋_GB2312" w:hAnsi="宋体" w:eastAsia="仿宋_GB2312"/>
          <w:b/>
          <w:color w:val="000000"/>
          <w:sz w:val="36"/>
          <w:szCs w:val="36"/>
        </w:rPr>
        <w:t>第一章</w:t>
      </w:r>
      <w:r>
        <w:rPr>
          <w:rStyle w:val="13"/>
          <w:rFonts w:hint="eastAsia" w:ascii="仿宋_GB2312" w:eastAsia="仿宋_GB2312"/>
          <w:b/>
          <w:color w:val="000000"/>
          <w:sz w:val="36"/>
          <w:szCs w:val="36"/>
        </w:rPr>
        <w:t>磋商供应商须知前附表</w:t>
      </w:r>
      <w:r>
        <w:rPr>
          <w:color w:val="000000"/>
          <w:sz w:val="36"/>
          <w:szCs w:val="36"/>
        </w:rPr>
        <w:tab/>
      </w:r>
      <w:r>
        <w:rPr>
          <w:color w:val="000000"/>
          <w:sz w:val="36"/>
          <w:szCs w:val="36"/>
        </w:rPr>
        <w:fldChar w:fldCharType="end"/>
      </w:r>
      <w:r>
        <w:rPr>
          <w:rFonts w:hint="eastAsia"/>
          <w:color w:val="000000"/>
          <w:sz w:val="36"/>
          <w:szCs w:val="36"/>
        </w:rPr>
        <w:t>5</w:t>
      </w:r>
    </w:p>
    <w:p w14:paraId="5B3C9AD6">
      <w:pPr>
        <w:pStyle w:val="7"/>
        <w:tabs>
          <w:tab w:val="right" w:leader="dot" w:pos="9531"/>
        </w:tabs>
        <w:rPr>
          <w:color w:val="000000"/>
          <w:sz w:val="36"/>
          <w:szCs w:val="36"/>
        </w:rPr>
      </w:pPr>
      <w:r>
        <w:fldChar w:fldCharType="begin"/>
      </w:r>
      <w:r>
        <w:instrText xml:space="preserve"> HYPERLINK \l "_Toc464692182" </w:instrText>
      </w:r>
      <w:r>
        <w:fldChar w:fldCharType="separate"/>
      </w:r>
      <w:r>
        <w:rPr>
          <w:rStyle w:val="13"/>
          <w:rFonts w:hint="eastAsia" w:ascii="仿宋_GB2312" w:hAnsi="宋体" w:eastAsia="仿宋_GB2312"/>
          <w:b/>
          <w:color w:val="000000"/>
          <w:sz w:val="36"/>
          <w:szCs w:val="36"/>
        </w:rPr>
        <w:t>第二章评标方法</w:t>
      </w:r>
      <w:bookmarkStart w:id="0" w:name="_Hlt495276739"/>
      <w:bookmarkStart w:id="1" w:name="_Hlt496207858"/>
      <w:bookmarkStart w:id="2" w:name="_Hlt495276652"/>
      <w:bookmarkStart w:id="3" w:name="_Hlt464831468"/>
      <w:bookmarkStart w:id="4" w:name="_Hlt496207859"/>
      <w:bookmarkStart w:id="5" w:name="_Hlt495276653"/>
      <w:bookmarkStart w:id="6" w:name="_Hlt464831469"/>
      <w:r>
        <w:rPr>
          <w:color w:val="000000"/>
          <w:sz w:val="36"/>
          <w:szCs w:val="36"/>
        </w:rPr>
        <w:tab/>
      </w:r>
      <w:bookmarkEnd w:id="0"/>
      <w:bookmarkEnd w:id="1"/>
      <w:bookmarkEnd w:id="2"/>
      <w:bookmarkEnd w:id="3"/>
      <w:bookmarkEnd w:id="4"/>
      <w:bookmarkEnd w:id="5"/>
      <w:bookmarkEnd w:id="6"/>
      <w:r>
        <w:rPr>
          <w:color w:val="000000"/>
          <w:sz w:val="36"/>
          <w:szCs w:val="36"/>
        </w:rPr>
        <w:fldChar w:fldCharType="end"/>
      </w:r>
      <w:r>
        <w:rPr>
          <w:rFonts w:hint="eastAsia"/>
          <w:color w:val="000000"/>
          <w:sz w:val="36"/>
          <w:szCs w:val="36"/>
        </w:rPr>
        <w:t>9</w:t>
      </w:r>
    </w:p>
    <w:p w14:paraId="3095ABC8">
      <w:pPr>
        <w:pStyle w:val="7"/>
        <w:tabs>
          <w:tab w:val="right" w:leader="dot" w:pos="9531"/>
        </w:tabs>
        <w:rPr>
          <w:color w:val="000000"/>
          <w:sz w:val="36"/>
          <w:szCs w:val="36"/>
        </w:rPr>
      </w:pPr>
      <w:r>
        <w:fldChar w:fldCharType="begin"/>
      </w:r>
      <w:r>
        <w:instrText xml:space="preserve"> HYPERLINK \l "_Toc464692183" </w:instrText>
      </w:r>
      <w:r>
        <w:fldChar w:fldCharType="separate"/>
      </w:r>
      <w:r>
        <w:rPr>
          <w:rStyle w:val="13"/>
          <w:rFonts w:hint="eastAsia" w:ascii="仿宋_GB2312" w:hAnsi="宋体" w:eastAsia="仿宋_GB2312"/>
          <w:b/>
          <w:color w:val="000000"/>
          <w:sz w:val="36"/>
          <w:szCs w:val="36"/>
        </w:rPr>
        <w:t>第三章采购项目技术规范及要求</w:t>
      </w:r>
      <w:r>
        <w:rPr>
          <w:color w:val="000000"/>
          <w:sz w:val="36"/>
          <w:szCs w:val="36"/>
        </w:rPr>
        <w:tab/>
      </w:r>
      <w:r>
        <w:rPr>
          <w:rFonts w:hint="eastAsia"/>
          <w:color w:val="000000"/>
          <w:sz w:val="36"/>
          <w:szCs w:val="36"/>
        </w:rPr>
        <w:t>1</w:t>
      </w:r>
      <w:r>
        <w:rPr>
          <w:rFonts w:hint="eastAsia"/>
          <w:color w:val="000000"/>
          <w:sz w:val="36"/>
          <w:szCs w:val="36"/>
        </w:rPr>
        <w:fldChar w:fldCharType="end"/>
      </w:r>
      <w:r>
        <w:rPr>
          <w:rFonts w:hint="eastAsia"/>
          <w:color w:val="000000"/>
          <w:sz w:val="36"/>
          <w:szCs w:val="36"/>
        </w:rPr>
        <w:t>1</w:t>
      </w:r>
    </w:p>
    <w:p w14:paraId="03FFC3DA">
      <w:pPr>
        <w:pStyle w:val="7"/>
        <w:tabs>
          <w:tab w:val="right" w:leader="dot" w:pos="9531"/>
        </w:tabs>
        <w:rPr>
          <w:rFonts w:hint="eastAsia" w:eastAsia="宋体"/>
          <w:color w:val="000000"/>
          <w:sz w:val="36"/>
          <w:szCs w:val="36"/>
          <w:lang w:val="en-US" w:eastAsia="zh-CN"/>
        </w:rPr>
      </w:pPr>
      <w:r>
        <w:fldChar w:fldCharType="begin"/>
      </w:r>
      <w:r>
        <w:instrText xml:space="preserve"> HYPERLINK \l "_Toc464692184" </w:instrText>
      </w:r>
      <w:r>
        <w:fldChar w:fldCharType="separate"/>
      </w:r>
      <w:r>
        <w:rPr>
          <w:rStyle w:val="13"/>
          <w:rFonts w:hint="eastAsia" w:ascii="仿宋_GB2312" w:hAnsi="宋体" w:eastAsia="仿宋_GB2312"/>
          <w:b/>
          <w:color w:val="000000"/>
          <w:sz w:val="36"/>
          <w:szCs w:val="36"/>
        </w:rPr>
        <w:t>第四章磋商响应文件基本格式</w:t>
      </w:r>
      <w:r>
        <w:rPr>
          <w:color w:val="000000"/>
          <w:sz w:val="36"/>
          <w:szCs w:val="36"/>
        </w:rPr>
        <w:tab/>
      </w:r>
      <w:r>
        <w:rPr>
          <w:rFonts w:hint="eastAsia"/>
          <w:color w:val="000000"/>
          <w:sz w:val="36"/>
          <w:szCs w:val="36"/>
        </w:rPr>
        <w:t>1</w:t>
      </w:r>
      <w:r>
        <w:rPr>
          <w:rFonts w:hint="eastAsia"/>
          <w:color w:val="000000"/>
          <w:sz w:val="36"/>
          <w:szCs w:val="36"/>
        </w:rPr>
        <w:fldChar w:fldCharType="end"/>
      </w:r>
      <w:r>
        <w:rPr>
          <w:rFonts w:hint="eastAsia"/>
          <w:color w:val="000000"/>
          <w:sz w:val="36"/>
          <w:szCs w:val="36"/>
          <w:lang w:val="en-US" w:eastAsia="zh-CN"/>
        </w:rPr>
        <w:t>2</w:t>
      </w:r>
    </w:p>
    <w:p w14:paraId="71919BC2">
      <w:pPr>
        <w:pStyle w:val="7"/>
        <w:tabs>
          <w:tab w:val="right" w:leader="dot" w:pos="9531"/>
        </w:tabs>
        <w:rPr>
          <w:rFonts w:hint="eastAsia" w:eastAsia="宋体"/>
          <w:color w:val="000000"/>
          <w:sz w:val="36"/>
          <w:szCs w:val="36"/>
          <w:lang w:val="en-US" w:eastAsia="zh-CN"/>
        </w:rPr>
      </w:pPr>
      <w:r>
        <w:rPr>
          <w:rFonts w:ascii="仿宋_GB2312" w:hAnsi="宋体" w:eastAsia="仿宋_GB2312"/>
          <w:b/>
          <w:color w:val="000000"/>
          <w:szCs w:val="32"/>
        </w:rPr>
        <w:fldChar w:fldCharType="end"/>
      </w:r>
      <w:r>
        <w:fldChar w:fldCharType="begin"/>
      </w:r>
      <w:r>
        <w:instrText xml:space="preserve"> HYPERLINK \l "_Toc464692184" </w:instrText>
      </w:r>
      <w:r>
        <w:fldChar w:fldCharType="separate"/>
      </w:r>
      <w:r>
        <w:rPr>
          <w:rStyle w:val="13"/>
          <w:rFonts w:hint="eastAsia" w:ascii="仿宋_GB2312" w:hAnsi="宋体" w:eastAsia="仿宋_GB2312"/>
          <w:b/>
          <w:color w:val="000000"/>
          <w:sz w:val="36"/>
          <w:szCs w:val="36"/>
          <w:u w:val="none"/>
        </w:rPr>
        <w:t>第五章合同</w:t>
      </w:r>
      <w:r>
        <w:rPr>
          <w:color w:val="000000"/>
          <w:sz w:val="36"/>
          <w:szCs w:val="36"/>
        </w:rPr>
        <w:tab/>
      </w:r>
      <w:r>
        <w:rPr>
          <w:color w:val="000000"/>
          <w:sz w:val="36"/>
          <w:szCs w:val="36"/>
        </w:rPr>
        <w:fldChar w:fldCharType="end"/>
      </w:r>
      <w:r>
        <w:rPr>
          <w:rFonts w:hint="eastAsia"/>
          <w:color w:val="000000"/>
          <w:sz w:val="36"/>
          <w:szCs w:val="36"/>
        </w:rPr>
        <w:t>1</w:t>
      </w:r>
      <w:r>
        <w:rPr>
          <w:rFonts w:hint="eastAsia"/>
          <w:color w:val="000000"/>
          <w:sz w:val="36"/>
          <w:szCs w:val="36"/>
          <w:lang w:val="en-US" w:eastAsia="zh-CN"/>
        </w:rPr>
        <w:t>7</w:t>
      </w:r>
    </w:p>
    <w:p w14:paraId="243EB925">
      <w:pPr>
        <w:pStyle w:val="4"/>
        <w:rPr>
          <w:rFonts w:ascii="仿宋_GB2312" w:hAnsi="宋体" w:eastAsia="仿宋_GB2312"/>
          <w:b/>
          <w:color w:val="000000"/>
          <w:sz w:val="32"/>
          <w:szCs w:val="32"/>
        </w:rPr>
      </w:pPr>
    </w:p>
    <w:p w14:paraId="381A0780">
      <w:pPr>
        <w:pStyle w:val="4"/>
        <w:ind w:firstLine="412"/>
        <w:rPr>
          <w:rFonts w:ascii="仿宋_GB2312" w:hAnsi="宋体" w:eastAsia="仿宋_GB2312"/>
          <w:b/>
          <w:color w:val="000000"/>
          <w:sz w:val="32"/>
          <w:szCs w:val="32"/>
        </w:rPr>
      </w:pPr>
    </w:p>
    <w:p w14:paraId="2EB6E550">
      <w:pPr>
        <w:pStyle w:val="4"/>
        <w:ind w:firstLine="412"/>
        <w:rPr>
          <w:rFonts w:ascii="仿宋_GB2312" w:hAnsi="宋体" w:eastAsia="仿宋_GB2312"/>
          <w:b/>
          <w:color w:val="000000"/>
          <w:sz w:val="32"/>
          <w:szCs w:val="32"/>
        </w:rPr>
      </w:pPr>
    </w:p>
    <w:p w14:paraId="4D094E68">
      <w:pPr>
        <w:pStyle w:val="4"/>
        <w:ind w:left="409"/>
        <w:rPr>
          <w:rFonts w:ascii="仿宋_GB2312" w:hAnsi="宋体" w:eastAsia="仿宋_GB2312"/>
          <w:b/>
          <w:color w:val="000000"/>
          <w:sz w:val="32"/>
          <w:szCs w:val="32"/>
        </w:rPr>
      </w:pPr>
    </w:p>
    <w:p w14:paraId="356B6C9E">
      <w:pPr>
        <w:pStyle w:val="4"/>
        <w:ind w:left="412" w:leftChars="196"/>
        <w:rPr>
          <w:rFonts w:ascii="仿宋_GB2312" w:hAnsi="宋体" w:eastAsia="仿宋_GB2312"/>
          <w:b/>
          <w:color w:val="000000"/>
          <w:sz w:val="32"/>
          <w:szCs w:val="32"/>
        </w:rPr>
      </w:pPr>
    </w:p>
    <w:p w14:paraId="2C3F4D05">
      <w:pPr>
        <w:rPr>
          <w:color w:val="000000"/>
        </w:rPr>
      </w:pPr>
    </w:p>
    <w:p w14:paraId="73E43739">
      <w:pPr>
        <w:rPr>
          <w:color w:val="000000"/>
        </w:rPr>
      </w:pPr>
    </w:p>
    <w:p w14:paraId="5D44F710">
      <w:pPr>
        <w:rPr>
          <w:color w:val="000000"/>
        </w:rPr>
      </w:pPr>
    </w:p>
    <w:p w14:paraId="39CAE354">
      <w:pPr>
        <w:rPr>
          <w:color w:val="000000"/>
        </w:rPr>
      </w:pPr>
    </w:p>
    <w:p w14:paraId="4D920B0C">
      <w:pPr>
        <w:rPr>
          <w:color w:val="000000"/>
        </w:rPr>
      </w:pPr>
    </w:p>
    <w:p w14:paraId="2DF60702">
      <w:pPr>
        <w:rPr>
          <w:color w:val="000000"/>
        </w:rPr>
      </w:pPr>
    </w:p>
    <w:p w14:paraId="307B9A37">
      <w:pPr>
        <w:rPr>
          <w:color w:val="000000"/>
        </w:rPr>
      </w:pPr>
    </w:p>
    <w:p w14:paraId="3983C1CC">
      <w:pPr>
        <w:rPr>
          <w:color w:val="000000"/>
        </w:rPr>
      </w:pPr>
    </w:p>
    <w:p w14:paraId="7C6475D1">
      <w:pPr>
        <w:rPr>
          <w:color w:val="000000"/>
        </w:rPr>
      </w:pPr>
    </w:p>
    <w:p w14:paraId="7A397335">
      <w:pPr>
        <w:rPr>
          <w:color w:val="000000"/>
        </w:rPr>
      </w:pPr>
    </w:p>
    <w:p w14:paraId="3C741E92">
      <w:pPr>
        <w:rPr>
          <w:color w:val="000000"/>
        </w:rPr>
      </w:pPr>
    </w:p>
    <w:p w14:paraId="24267132">
      <w:pPr>
        <w:rPr>
          <w:color w:val="000000"/>
        </w:rPr>
      </w:pPr>
    </w:p>
    <w:p w14:paraId="5AB9F533">
      <w:pPr>
        <w:rPr>
          <w:color w:val="000000"/>
        </w:rPr>
      </w:pPr>
    </w:p>
    <w:p w14:paraId="466C1C29">
      <w:pPr>
        <w:rPr>
          <w:color w:val="000000"/>
        </w:rPr>
      </w:pPr>
    </w:p>
    <w:p w14:paraId="3E736043">
      <w:pPr>
        <w:rPr>
          <w:color w:val="000000"/>
        </w:rPr>
      </w:pPr>
    </w:p>
    <w:p w14:paraId="1E555048">
      <w:pPr>
        <w:rPr>
          <w:color w:val="000000"/>
        </w:rPr>
      </w:pPr>
    </w:p>
    <w:p w14:paraId="79DACE8E">
      <w:pPr>
        <w:rPr>
          <w:color w:val="000000"/>
        </w:rPr>
      </w:pPr>
    </w:p>
    <w:p w14:paraId="087EF7A1">
      <w:pPr>
        <w:rPr>
          <w:color w:val="000000"/>
        </w:rPr>
      </w:pPr>
    </w:p>
    <w:p w14:paraId="11080C8D">
      <w:pPr>
        <w:rPr>
          <w:color w:val="000000"/>
        </w:rPr>
      </w:pPr>
    </w:p>
    <w:p w14:paraId="5969A00C">
      <w:pPr>
        <w:rPr>
          <w:color w:val="000000"/>
        </w:rPr>
      </w:pPr>
    </w:p>
    <w:p w14:paraId="2CC29928">
      <w:pPr>
        <w:spacing w:line="620" w:lineRule="atLeast"/>
        <w:ind w:firstLine="301" w:firstLineChars="100"/>
        <w:jc w:val="center"/>
        <w:outlineLvl w:val="0"/>
        <w:rPr>
          <w:rFonts w:ascii="仿宋" w:hAnsi="仿宋" w:eastAsia="仿宋" w:cs="仿宋"/>
          <w:b/>
          <w:color w:val="000000"/>
          <w:sz w:val="30"/>
          <w:szCs w:val="30"/>
        </w:rPr>
      </w:pPr>
      <w:bookmarkStart w:id="7" w:name="_Toc464692180"/>
      <w:r>
        <w:rPr>
          <w:rFonts w:hint="eastAsia" w:ascii="仿宋" w:hAnsi="仿宋" w:eastAsia="仿宋" w:cs="仿宋"/>
          <w:b/>
          <w:color w:val="000000"/>
          <w:sz w:val="30"/>
          <w:szCs w:val="30"/>
        </w:rPr>
        <w:t>南宁市第一人民医院区级继续教育《移动互联网时代医院文化建设》</w:t>
      </w:r>
    </w:p>
    <w:p w14:paraId="4FB55D2C">
      <w:pPr>
        <w:spacing w:line="620" w:lineRule="atLeast"/>
        <w:ind w:firstLine="301" w:firstLineChars="100"/>
        <w:jc w:val="center"/>
        <w:outlineLvl w:val="0"/>
        <w:rPr>
          <w:rFonts w:ascii="仿宋" w:hAnsi="仿宋" w:eastAsia="仿宋" w:cs="仿宋"/>
          <w:b/>
          <w:color w:val="000000"/>
          <w:sz w:val="30"/>
          <w:szCs w:val="30"/>
        </w:rPr>
      </w:pPr>
      <w:r>
        <w:rPr>
          <w:rFonts w:hint="eastAsia" w:ascii="仿宋" w:hAnsi="仿宋" w:eastAsia="仿宋" w:cs="仿宋"/>
          <w:b/>
          <w:color w:val="000000"/>
          <w:sz w:val="30"/>
          <w:szCs w:val="30"/>
        </w:rPr>
        <w:t>项目竞争性磋商公告</w:t>
      </w:r>
      <w:bookmarkEnd w:id="7"/>
    </w:p>
    <w:p w14:paraId="32E897EA">
      <w:pPr>
        <w:pStyle w:val="4"/>
        <w:ind w:firstLine="440" w:firstLineChars="200"/>
        <w:jc w:val="left"/>
        <w:rPr>
          <w:rFonts w:hAnsi="宋体" w:cs="宋体"/>
          <w:color w:val="000000"/>
          <w:kern w:val="0"/>
          <w:sz w:val="22"/>
          <w:szCs w:val="22"/>
        </w:rPr>
      </w:pPr>
    </w:p>
    <w:p w14:paraId="7828D32E">
      <w:pPr>
        <w:pStyle w:val="4"/>
        <w:ind w:firstLine="440" w:firstLineChars="200"/>
        <w:jc w:val="left"/>
        <w:rPr>
          <w:rFonts w:hAnsi="宋体" w:cs="宋体"/>
          <w:color w:val="000000"/>
          <w:kern w:val="0"/>
          <w:sz w:val="22"/>
          <w:szCs w:val="22"/>
        </w:rPr>
      </w:pPr>
    </w:p>
    <w:p w14:paraId="116B64CA">
      <w:pPr>
        <w:pStyle w:val="4"/>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南宁市第一人民医院区级继续教育《移动互联网时代医院文化建设》项目进行竞争性磋商，欢迎符合条件的供应商前来参加磋商。</w:t>
      </w:r>
    </w:p>
    <w:p w14:paraId="774C1107">
      <w:pPr>
        <w:numPr>
          <w:ilvl w:val="0"/>
          <w:numId w:val="1"/>
        </w:numPr>
        <w:spacing w:line="40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项目名称：南宁市第一人民医院区级继续教育《移动互联网时代医院文化建设》项目。</w:t>
      </w:r>
    </w:p>
    <w:p w14:paraId="4CE44196">
      <w:pPr>
        <w:pStyle w:val="3"/>
        <w:numPr>
          <w:ilvl w:val="0"/>
          <w:numId w:val="1"/>
        </w:numPr>
        <w:spacing w:line="400" w:lineRule="exact"/>
        <w:ind w:firstLine="466" w:firstLineChars="200"/>
        <w:rPr>
          <w:rFonts w:ascii="仿宋" w:hAnsi="仿宋" w:eastAsia="仿宋" w:cs="仿宋"/>
          <w:b/>
          <w:bCs/>
          <w:color w:val="000000"/>
          <w:sz w:val="24"/>
          <w:szCs w:val="24"/>
        </w:rPr>
      </w:pPr>
      <w:r>
        <w:rPr>
          <w:rFonts w:hint="eastAsia" w:ascii="仿宋" w:hAnsi="仿宋" w:eastAsia="仿宋" w:cs="仿宋"/>
          <w:b/>
          <w:bCs/>
          <w:color w:val="000000"/>
          <w:sz w:val="24"/>
          <w:szCs w:val="24"/>
        </w:rPr>
        <w:t>采购项目内容及要求</w:t>
      </w:r>
    </w:p>
    <w:p w14:paraId="0C138EAC">
      <w:pPr>
        <w:pStyle w:val="3"/>
        <w:spacing w:line="400" w:lineRule="exact"/>
        <w:ind w:firstLine="0"/>
        <w:rPr>
          <w:rFonts w:ascii="仿宋" w:hAnsi="仿宋" w:eastAsia="仿宋" w:cs="仿宋"/>
          <w:b/>
          <w:bCs/>
          <w:color w:val="000000"/>
          <w:sz w:val="24"/>
          <w:szCs w:val="24"/>
        </w:rPr>
      </w:pPr>
    </w:p>
    <w:p w14:paraId="202C6D7F">
      <w:pPr>
        <w:pStyle w:val="3"/>
        <w:tabs>
          <w:tab w:val="left" w:pos="448"/>
        </w:tabs>
        <w:spacing w:line="400" w:lineRule="exact"/>
        <w:ind w:firstLine="454" w:firstLineChars="196"/>
        <w:rPr>
          <w:rFonts w:ascii="仿宋" w:hAnsi="仿宋" w:eastAsia="仿宋" w:cs="仿宋"/>
          <w:color w:val="000000"/>
          <w:sz w:val="24"/>
          <w:szCs w:val="24"/>
        </w:rPr>
      </w:pPr>
      <w:r>
        <w:rPr>
          <w:rFonts w:hint="eastAsia" w:ascii="仿宋" w:hAnsi="仿宋" w:eastAsia="仿宋" w:cs="仿宋"/>
          <w:color w:val="000000"/>
          <w:sz w:val="24"/>
          <w:szCs w:val="24"/>
        </w:rPr>
        <w:t>1、我院区级继续教育《移动互联网时代医院文化建设》项目需寻找一家合作办会单位。</w:t>
      </w:r>
    </w:p>
    <w:p w14:paraId="30F31516">
      <w:pPr>
        <w:pStyle w:val="3"/>
        <w:tabs>
          <w:tab w:val="left" w:pos="448"/>
        </w:tabs>
        <w:spacing w:line="400" w:lineRule="exact"/>
        <w:ind w:firstLine="454" w:firstLineChars="196"/>
        <w:rPr>
          <w:rFonts w:ascii="仿宋" w:hAnsi="仿宋" w:eastAsia="仿宋" w:cs="仿宋"/>
          <w:color w:val="000000"/>
          <w:sz w:val="24"/>
          <w:szCs w:val="24"/>
        </w:rPr>
      </w:pPr>
      <w:r>
        <w:rPr>
          <w:rFonts w:hint="eastAsia" w:ascii="仿宋" w:hAnsi="仿宋" w:eastAsia="仿宋" w:cs="仿宋"/>
          <w:color w:val="000000"/>
          <w:sz w:val="24"/>
          <w:szCs w:val="24"/>
        </w:rPr>
        <w:t>2、要求：投标文件满足以下参数要求。</w:t>
      </w:r>
    </w:p>
    <w:tbl>
      <w:tblPr>
        <w:tblStyle w:val="9"/>
        <w:tblW w:w="10500" w:type="dxa"/>
        <w:tblInd w:w="0" w:type="dxa"/>
        <w:tblLayout w:type="autofit"/>
        <w:tblCellMar>
          <w:top w:w="0" w:type="dxa"/>
          <w:left w:w="0" w:type="dxa"/>
          <w:bottom w:w="0" w:type="dxa"/>
          <w:right w:w="0" w:type="dxa"/>
        </w:tblCellMar>
      </w:tblPr>
      <w:tblGrid>
        <w:gridCol w:w="688"/>
        <w:gridCol w:w="3035"/>
        <w:gridCol w:w="6777"/>
      </w:tblGrid>
      <w:tr w14:paraId="37FD4E7B">
        <w:tblPrEx>
          <w:tblCellMar>
            <w:top w:w="0" w:type="dxa"/>
            <w:left w:w="0" w:type="dxa"/>
            <w:bottom w:w="0" w:type="dxa"/>
            <w:right w:w="0" w:type="dxa"/>
          </w:tblCellMar>
        </w:tblPrEx>
        <w:trPr>
          <w:trHeight w:val="855" w:hRule="atLeast"/>
        </w:trPr>
        <w:tc>
          <w:tcPr>
            <w:tcW w:w="6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508B65">
            <w:pPr>
              <w:jc w:val="center"/>
              <w:rPr>
                <w:rFonts w:ascii="仿宋" w:hAnsi="仿宋" w:eastAsia="仿宋" w:cs="仿宋"/>
                <w:color w:val="000000"/>
                <w:sz w:val="24"/>
              </w:rPr>
            </w:pPr>
            <w:r>
              <w:rPr>
                <w:rFonts w:hint="eastAsia" w:ascii="仿宋" w:hAnsi="仿宋" w:eastAsia="仿宋" w:cs="仿宋"/>
                <w:color w:val="000000"/>
                <w:sz w:val="24"/>
              </w:rPr>
              <w:t>序号</w:t>
            </w:r>
          </w:p>
        </w:tc>
        <w:tc>
          <w:tcPr>
            <w:tcW w:w="3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6602BF">
            <w:pPr>
              <w:jc w:val="center"/>
              <w:rPr>
                <w:rFonts w:ascii="仿宋" w:hAnsi="仿宋" w:eastAsia="仿宋" w:cs="仿宋"/>
                <w:color w:val="000000"/>
                <w:sz w:val="24"/>
              </w:rPr>
            </w:pPr>
            <w:r>
              <w:rPr>
                <w:rFonts w:hint="eastAsia" w:ascii="仿宋" w:hAnsi="仿宋" w:eastAsia="仿宋" w:cs="仿宋"/>
                <w:color w:val="000000"/>
                <w:sz w:val="24"/>
              </w:rPr>
              <w:t>培训内容</w:t>
            </w:r>
          </w:p>
        </w:tc>
        <w:tc>
          <w:tcPr>
            <w:tcW w:w="67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0B5C7A">
            <w:pPr>
              <w:jc w:val="center"/>
              <w:rPr>
                <w:rFonts w:ascii="仿宋" w:hAnsi="仿宋" w:eastAsia="仿宋" w:cs="仿宋"/>
                <w:color w:val="000000"/>
                <w:sz w:val="24"/>
              </w:rPr>
            </w:pPr>
            <w:r>
              <w:rPr>
                <w:rFonts w:hint="eastAsia" w:ascii="仿宋" w:hAnsi="仿宋" w:eastAsia="仿宋" w:cs="仿宋"/>
                <w:color w:val="000000"/>
                <w:sz w:val="24"/>
              </w:rPr>
              <w:t>讲师要求</w:t>
            </w:r>
          </w:p>
        </w:tc>
      </w:tr>
      <w:tr w14:paraId="0182DA99">
        <w:tblPrEx>
          <w:tblCellMar>
            <w:top w:w="0" w:type="dxa"/>
            <w:left w:w="0" w:type="dxa"/>
            <w:bottom w:w="0" w:type="dxa"/>
            <w:right w:w="0" w:type="dxa"/>
          </w:tblCellMar>
        </w:tblPrEx>
        <w:trPr>
          <w:trHeight w:val="855" w:hRule="atLeast"/>
        </w:trPr>
        <w:tc>
          <w:tcPr>
            <w:tcW w:w="6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72DAF3">
            <w:pPr>
              <w:jc w:val="center"/>
              <w:rPr>
                <w:rFonts w:ascii="仿宋" w:hAnsi="仿宋" w:eastAsia="仿宋" w:cs="仿宋"/>
                <w:color w:val="000000"/>
                <w:sz w:val="24"/>
              </w:rPr>
            </w:pPr>
            <w:r>
              <w:rPr>
                <w:rFonts w:hint="eastAsia" w:ascii="仿宋" w:hAnsi="仿宋" w:eastAsia="仿宋" w:cs="仿宋"/>
                <w:color w:val="000000"/>
                <w:sz w:val="24"/>
              </w:rPr>
              <w:t>1</w:t>
            </w:r>
          </w:p>
        </w:tc>
        <w:tc>
          <w:tcPr>
            <w:tcW w:w="3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8C20F5">
            <w:pPr>
              <w:ind w:firstLine="480" w:firstLineChars="200"/>
              <w:rPr>
                <w:rFonts w:ascii="仿宋" w:hAnsi="仿宋" w:eastAsia="仿宋" w:cs="仿宋"/>
                <w:color w:val="000000"/>
                <w:sz w:val="24"/>
              </w:rPr>
            </w:pPr>
            <w:r>
              <w:rPr>
                <w:rFonts w:hint="eastAsia" w:ascii="仿宋" w:hAnsi="仿宋" w:eastAsia="仿宋" w:cs="仿宋"/>
                <w:color w:val="000000"/>
                <w:sz w:val="24"/>
              </w:rPr>
              <w:t>主题为《医院文化与医院管理》，主要讲解医院文化与医院管理的关系以及医院文化建设对医院管理的作用。</w:t>
            </w:r>
          </w:p>
        </w:tc>
        <w:tc>
          <w:tcPr>
            <w:tcW w:w="67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03E68">
            <w:pPr>
              <w:ind w:firstLine="480" w:firstLineChars="200"/>
              <w:rPr>
                <w:rFonts w:ascii="仿宋" w:hAnsi="仿宋" w:eastAsia="仿宋" w:cs="仿宋"/>
                <w:color w:val="000000"/>
                <w:sz w:val="24"/>
              </w:rPr>
            </w:pPr>
            <w:r>
              <w:rPr>
                <w:rFonts w:hint="eastAsia" w:ascii="仿宋" w:hAnsi="仿宋" w:eastAsia="仿宋" w:cs="仿宋"/>
                <w:color w:val="000000"/>
                <w:sz w:val="24"/>
              </w:rPr>
              <w:t>博士生学历，省级以上三甲医院主要领导，省级医院管理研究所副所长级别以上。</w:t>
            </w:r>
          </w:p>
        </w:tc>
      </w:tr>
      <w:tr w14:paraId="34366087">
        <w:tblPrEx>
          <w:tblCellMar>
            <w:top w:w="0" w:type="dxa"/>
            <w:left w:w="0" w:type="dxa"/>
            <w:bottom w:w="0" w:type="dxa"/>
            <w:right w:w="0" w:type="dxa"/>
          </w:tblCellMar>
        </w:tblPrEx>
        <w:trPr>
          <w:trHeight w:val="855" w:hRule="atLeast"/>
        </w:trPr>
        <w:tc>
          <w:tcPr>
            <w:tcW w:w="6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62DF59">
            <w:pPr>
              <w:jc w:val="center"/>
              <w:rPr>
                <w:rFonts w:ascii="仿宋" w:hAnsi="仿宋" w:eastAsia="仿宋" w:cs="仿宋"/>
                <w:color w:val="000000"/>
                <w:sz w:val="24"/>
              </w:rPr>
            </w:pPr>
            <w:r>
              <w:rPr>
                <w:rFonts w:hint="eastAsia" w:ascii="仿宋" w:hAnsi="仿宋" w:eastAsia="仿宋" w:cs="仿宋"/>
                <w:color w:val="000000"/>
                <w:sz w:val="24"/>
              </w:rPr>
              <w:t>2</w:t>
            </w:r>
          </w:p>
        </w:tc>
        <w:tc>
          <w:tcPr>
            <w:tcW w:w="3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77E3AE">
            <w:pPr>
              <w:ind w:firstLine="480" w:firstLineChars="200"/>
              <w:rPr>
                <w:rFonts w:ascii="仿宋" w:hAnsi="仿宋" w:eastAsia="仿宋" w:cs="仿宋"/>
                <w:color w:val="000000"/>
                <w:sz w:val="24"/>
              </w:rPr>
            </w:pPr>
            <w:r>
              <w:rPr>
                <w:rFonts w:hint="eastAsia" w:ascii="仿宋" w:hAnsi="仿宋" w:eastAsia="仿宋" w:cs="仿宋"/>
                <w:color w:val="000000"/>
                <w:sz w:val="24"/>
              </w:rPr>
              <w:t>主题为《党建引领，文化兴盛》，主要讲述如何开展医院党建工作，以党建引领医院文化建设，以文化搭建平台，将党建与文化建设有机融合。</w:t>
            </w:r>
          </w:p>
        </w:tc>
        <w:tc>
          <w:tcPr>
            <w:tcW w:w="67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5973F">
            <w:pPr>
              <w:jc w:val="center"/>
              <w:rPr>
                <w:rFonts w:ascii="仿宋" w:hAnsi="仿宋" w:eastAsia="仿宋" w:cs="仿宋"/>
                <w:color w:val="000000"/>
                <w:sz w:val="24"/>
              </w:rPr>
            </w:pPr>
            <w:r>
              <w:rPr>
                <w:rFonts w:hint="eastAsia" w:ascii="仿宋" w:hAnsi="仿宋" w:eastAsia="仿宋" w:cs="仿宋"/>
                <w:color w:val="000000"/>
                <w:sz w:val="24"/>
              </w:rPr>
              <w:t>市级以上三甲医院主要领导，具备省级医院协会等部门工作经验。</w:t>
            </w:r>
          </w:p>
        </w:tc>
      </w:tr>
      <w:tr w14:paraId="725C0AF8">
        <w:tblPrEx>
          <w:tblCellMar>
            <w:top w:w="0" w:type="dxa"/>
            <w:left w:w="0" w:type="dxa"/>
            <w:bottom w:w="0" w:type="dxa"/>
            <w:right w:w="0" w:type="dxa"/>
          </w:tblCellMar>
        </w:tblPrEx>
        <w:trPr>
          <w:trHeight w:val="855" w:hRule="atLeast"/>
        </w:trPr>
        <w:tc>
          <w:tcPr>
            <w:tcW w:w="6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65243B">
            <w:pPr>
              <w:jc w:val="center"/>
              <w:rPr>
                <w:rFonts w:ascii="仿宋" w:hAnsi="仿宋" w:eastAsia="仿宋" w:cs="仿宋"/>
                <w:color w:val="000000"/>
                <w:sz w:val="24"/>
              </w:rPr>
            </w:pPr>
            <w:r>
              <w:rPr>
                <w:rFonts w:hint="eastAsia" w:ascii="仿宋" w:hAnsi="仿宋" w:eastAsia="仿宋" w:cs="仿宋"/>
                <w:color w:val="000000"/>
                <w:sz w:val="24"/>
              </w:rPr>
              <w:t>3</w:t>
            </w:r>
          </w:p>
        </w:tc>
        <w:tc>
          <w:tcPr>
            <w:tcW w:w="3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AFC76E">
            <w:pPr>
              <w:ind w:firstLine="480" w:firstLineChars="200"/>
              <w:rPr>
                <w:rFonts w:ascii="仿宋" w:hAnsi="仿宋" w:eastAsia="仿宋" w:cs="仿宋"/>
                <w:color w:val="000000"/>
                <w:sz w:val="24"/>
              </w:rPr>
            </w:pPr>
            <w:r>
              <w:rPr>
                <w:rFonts w:hint="eastAsia" w:ascii="仿宋" w:hAnsi="仿宋" w:eastAsia="仿宋" w:cs="仿宋"/>
                <w:color w:val="000000"/>
                <w:sz w:val="24"/>
              </w:rPr>
              <w:t>主题为《百年老院的文化传承与创新》，主要介绍南宁市第一人民医院建院以来不同时期的医院文化建设情况，着重介绍新时期医院发展目标以及文化建设的传承与创新。</w:t>
            </w:r>
          </w:p>
        </w:tc>
        <w:tc>
          <w:tcPr>
            <w:tcW w:w="67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E508E6">
            <w:pPr>
              <w:jc w:val="center"/>
              <w:rPr>
                <w:rFonts w:ascii="仿宋" w:hAnsi="仿宋" w:eastAsia="仿宋" w:cs="仿宋"/>
                <w:color w:val="000000"/>
                <w:sz w:val="24"/>
              </w:rPr>
            </w:pPr>
            <w:r>
              <w:rPr>
                <w:rFonts w:hint="eastAsia" w:ascii="仿宋" w:hAnsi="仿宋" w:eastAsia="仿宋" w:cs="仿宋"/>
                <w:color w:val="000000"/>
                <w:sz w:val="24"/>
              </w:rPr>
              <w:t>市级以上三甲医院主要领导</w:t>
            </w:r>
          </w:p>
        </w:tc>
      </w:tr>
      <w:tr w14:paraId="299C154F">
        <w:tblPrEx>
          <w:tblCellMar>
            <w:top w:w="0" w:type="dxa"/>
            <w:left w:w="0" w:type="dxa"/>
            <w:bottom w:w="0" w:type="dxa"/>
            <w:right w:w="0" w:type="dxa"/>
          </w:tblCellMar>
        </w:tblPrEx>
        <w:trPr>
          <w:trHeight w:val="855" w:hRule="atLeast"/>
        </w:trPr>
        <w:tc>
          <w:tcPr>
            <w:tcW w:w="6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F787AE">
            <w:pPr>
              <w:jc w:val="center"/>
              <w:rPr>
                <w:rFonts w:ascii="仿宋" w:hAnsi="仿宋" w:eastAsia="仿宋" w:cs="仿宋"/>
                <w:color w:val="000000"/>
                <w:sz w:val="24"/>
              </w:rPr>
            </w:pPr>
            <w:r>
              <w:rPr>
                <w:rFonts w:hint="eastAsia" w:ascii="仿宋" w:hAnsi="仿宋" w:eastAsia="仿宋" w:cs="仿宋"/>
                <w:color w:val="000000"/>
                <w:sz w:val="24"/>
              </w:rPr>
              <w:t>4</w:t>
            </w:r>
          </w:p>
        </w:tc>
        <w:tc>
          <w:tcPr>
            <w:tcW w:w="3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F8A043">
            <w:pPr>
              <w:ind w:firstLine="480" w:firstLineChars="200"/>
              <w:rPr>
                <w:rFonts w:ascii="仿宋" w:hAnsi="仿宋" w:eastAsia="仿宋" w:cs="仿宋"/>
                <w:color w:val="000000"/>
                <w:sz w:val="24"/>
              </w:rPr>
            </w:pPr>
            <w:r>
              <w:rPr>
                <w:rFonts w:hint="eastAsia" w:ascii="仿宋" w:hAnsi="仿宋" w:eastAsia="仿宋" w:cs="仿宋"/>
                <w:color w:val="000000"/>
                <w:sz w:val="24"/>
              </w:rPr>
              <w:t>主题为《移动互联网时代的医院文化建设》，主要讲授移动互联网时代的特征、移动互联网时代医院文化建设的特点。</w:t>
            </w:r>
          </w:p>
        </w:tc>
        <w:tc>
          <w:tcPr>
            <w:tcW w:w="67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AA3311">
            <w:pPr>
              <w:jc w:val="center"/>
              <w:rPr>
                <w:rFonts w:ascii="仿宋" w:hAnsi="仿宋" w:eastAsia="仿宋" w:cs="仿宋"/>
                <w:color w:val="000000"/>
                <w:sz w:val="24"/>
              </w:rPr>
            </w:pPr>
            <w:r>
              <w:rPr>
                <w:rFonts w:hint="eastAsia" w:ascii="仿宋" w:hAnsi="仿宋" w:eastAsia="仿宋" w:cs="仿宋"/>
                <w:color w:val="000000"/>
                <w:sz w:val="24"/>
              </w:rPr>
              <w:t>“双一流”重点大学相关专业研究院教授</w:t>
            </w:r>
          </w:p>
        </w:tc>
      </w:tr>
      <w:tr w14:paraId="4E071D40">
        <w:tblPrEx>
          <w:tblCellMar>
            <w:top w:w="0" w:type="dxa"/>
            <w:left w:w="0" w:type="dxa"/>
            <w:bottom w:w="0" w:type="dxa"/>
            <w:right w:w="0" w:type="dxa"/>
          </w:tblCellMar>
        </w:tblPrEx>
        <w:trPr>
          <w:trHeight w:val="855" w:hRule="atLeast"/>
        </w:trPr>
        <w:tc>
          <w:tcPr>
            <w:tcW w:w="6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865605">
            <w:pPr>
              <w:jc w:val="center"/>
              <w:rPr>
                <w:rFonts w:ascii="仿宋" w:hAnsi="仿宋" w:eastAsia="仿宋" w:cs="仿宋"/>
                <w:color w:val="000000"/>
                <w:sz w:val="24"/>
              </w:rPr>
            </w:pPr>
            <w:r>
              <w:rPr>
                <w:rFonts w:hint="eastAsia" w:ascii="仿宋" w:hAnsi="仿宋" w:eastAsia="仿宋" w:cs="仿宋"/>
                <w:color w:val="000000"/>
                <w:sz w:val="24"/>
              </w:rPr>
              <w:t>5</w:t>
            </w:r>
          </w:p>
        </w:tc>
        <w:tc>
          <w:tcPr>
            <w:tcW w:w="3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F2437">
            <w:pPr>
              <w:ind w:firstLine="480" w:firstLineChars="200"/>
              <w:rPr>
                <w:rFonts w:ascii="仿宋" w:hAnsi="仿宋" w:eastAsia="仿宋" w:cs="仿宋"/>
                <w:color w:val="000000"/>
                <w:sz w:val="24"/>
              </w:rPr>
            </w:pPr>
            <w:r>
              <w:rPr>
                <w:rFonts w:hint="eastAsia" w:ascii="仿宋" w:hAnsi="仿宋" w:eastAsia="仿宋" w:cs="仿宋"/>
                <w:color w:val="000000"/>
                <w:sz w:val="24"/>
              </w:rPr>
              <w:t>主题为《如何抢占全媒体时代的舆论制高点》</w:t>
            </w:r>
          </w:p>
        </w:tc>
        <w:tc>
          <w:tcPr>
            <w:tcW w:w="67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21D5F3">
            <w:pPr>
              <w:ind w:firstLine="480" w:firstLineChars="200"/>
              <w:rPr>
                <w:rFonts w:ascii="仿宋" w:hAnsi="仿宋" w:eastAsia="仿宋" w:cs="仿宋"/>
                <w:color w:val="000000"/>
                <w:sz w:val="24"/>
              </w:rPr>
            </w:pPr>
            <w:r>
              <w:rPr>
                <w:rFonts w:hint="eastAsia" w:ascii="仿宋" w:hAnsi="仿宋" w:eastAsia="仿宋" w:cs="仿宋"/>
                <w:color w:val="000000"/>
                <w:sz w:val="24"/>
              </w:rPr>
              <w:t>新闻学类专业硕士学历以上，在报社工作且职务为主任记者以上，并获得过省级新闻类奖项一等奖10篇以上。</w:t>
            </w:r>
          </w:p>
        </w:tc>
      </w:tr>
      <w:tr w14:paraId="19E78EE2">
        <w:tblPrEx>
          <w:tblCellMar>
            <w:top w:w="0" w:type="dxa"/>
            <w:left w:w="0" w:type="dxa"/>
            <w:bottom w:w="0" w:type="dxa"/>
            <w:right w:w="0" w:type="dxa"/>
          </w:tblCellMar>
        </w:tblPrEx>
        <w:trPr>
          <w:trHeight w:val="855" w:hRule="atLeast"/>
        </w:trPr>
        <w:tc>
          <w:tcPr>
            <w:tcW w:w="6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767F44">
            <w:pPr>
              <w:jc w:val="center"/>
              <w:rPr>
                <w:rFonts w:ascii="仿宋" w:hAnsi="仿宋" w:eastAsia="仿宋" w:cs="仿宋"/>
                <w:color w:val="000000"/>
                <w:sz w:val="24"/>
              </w:rPr>
            </w:pPr>
            <w:r>
              <w:rPr>
                <w:rFonts w:hint="eastAsia" w:ascii="仿宋" w:hAnsi="仿宋" w:eastAsia="仿宋" w:cs="仿宋"/>
                <w:color w:val="000000"/>
                <w:sz w:val="24"/>
              </w:rPr>
              <w:t>6</w:t>
            </w:r>
          </w:p>
        </w:tc>
        <w:tc>
          <w:tcPr>
            <w:tcW w:w="3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EBCC4">
            <w:pPr>
              <w:ind w:firstLine="480" w:firstLineChars="200"/>
              <w:rPr>
                <w:rFonts w:ascii="仿宋" w:hAnsi="仿宋" w:eastAsia="仿宋" w:cs="仿宋"/>
                <w:color w:val="000000"/>
                <w:sz w:val="24"/>
              </w:rPr>
            </w:pPr>
            <w:r>
              <w:rPr>
                <w:rFonts w:hint="eastAsia" w:ascii="仿宋" w:hAnsi="仿宋" w:eastAsia="仿宋" w:cs="仿宋"/>
                <w:color w:val="000000"/>
                <w:sz w:val="24"/>
              </w:rPr>
              <w:t>主题为《移动互联网时代患者就医体验改善》，主要讲授如何改善服务文化，让患者更具有就医的获得感。</w:t>
            </w:r>
          </w:p>
        </w:tc>
        <w:tc>
          <w:tcPr>
            <w:tcW w:w="67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88A548">
            <w:pPr>
              <w:jc w:val="center"/>
              <w:rPr>
                <w:rFonts w:ascii="仿宋" w:hAnsi="仿宋" w:eastAsia="仿宋" w:cs="仿宋"/>
                <w:color w:val="000000"/>
                <w:sz w:val="24"/>
              </w:rPr>
            </w:pPr>
            <w:r>
              <w:rPr>
                <w:rFonts w:hint="eastAsia" w:ascii="仿宋" w:hAnsi="仿宋" w:eastAsia="仿宋" w:cs="仿宋"/>
                <w:color w:val="000000"/>
                <w:sz w:val="24"/>
              </w:rPr>
              <w:t>新媒体总编辑职务以上，具备给医院做管理咨询的经验。</w:t>
            </w:r>
          </w:p>
        </w:tc>
      </w:tr>
      <w:tr w14:paraId="41EB4CE0">
        <w:tblPrEx>
          <w:tblCellMar>
            <w:top w:w="0" w:type="dxa"/>
            <w:left w:w="0" w:type="dxa"/>
            <w:bottom w:w="0" w:type="dxa"/>
            <w:right w:w="0" w:type="dxa"/>
          </w:tblCellMar>
        </w:tblPrEx>
        <w:trPr>
          <w:trHeight w:val="855" w:hRule="atLeast"/>
        </w:trPr>
        <w:tc>
          <w:tcPr>
            <w:tcW w:w="6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A580B6">
            <w:pPr>
              <w:jc w:val="center"/>
              <w:rPr>
                <w:rFonts w:ascii="仿宋" w:hAnsi="仿宋" w:eastAsia="仿宋" w:cs="仿宋"/>
                <w:color w:val="000000"/>
                <w:sz w:val="24"/>
              </w:rPr>
            </w:pPr>
            <w:r>
              <w:rPr>
                <w:rFonts w:hint="eastAsia" w:ascii="仿宋" w:hAnsi="仿宋" w:eastAsia="仿宋" w:cs="仿宋"/>
                <w:color w:val="000000"/>
                <w:sz w:val="24"/>
              </w:rPr>
              <w:t>7</w:t>
            </w:r>
          </w:p>
        </w:tc>
        <w:tc>
          <w:tcPr>
            <w:tcW w:w="3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9B290F">
            <w:pPr>
              <w:ind w:firstLine="480" w:firstLineChars="200"/>
              <w:rPr>
                <w:rFonts w:ascii="仿宋" w:hAnsi="仿宋" w:eastAsia="仿宋" w:cs="仿宋"/>
                <w:color w:val="000000"/>
                <w:sz w:val="24"/>
              </w:rPr>
            </w:pPr>
            <w:r>
              <w:rPr>
                <w:rFonts w:hint="eastAsia" w:ascii="仿宋" w:hAnsi="仿宋" w:eastAsia="仿宋" w:cs="仿宋"/>
                <w:color w:val="000000"/>
                <w:sz w:val="24"/>
              </w:rPr>
              <w:t>主题为《医院新媒体平台建设与运营》，讲授医院如何做好文化建设新平台，利用好新媒体，做好医院宣传工作。</w:t>
            </w:r>
          </w:p>
        </w:tc>
        <w:tc>
          <w:tcPr>
            <w:tcW w:w="67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B88F20">
            <w:pPr>
              <w:jc w:val="center"/>
              <w:rPr>
                <w:rFonts w:ascii="仿宋" w:hAnsi="仿宋" w:eastAsia="仿宋" w:cs="仿宋"/>
                <w:color w:val="000000"/>
                <w:sz w:val="24"/>
              </w:rPr>
            </w:pPr>
            <w:r>
              <w:rPr>
                <w:rFonts w:hint="eastAsia" w:ascii="仿宋" w:hAnsi="仿宋" w:eastAsia="仿宋" w:cs="仿宋"/>
                <w:color w:val="000000"/>
                <w:sz w:val="24"/>
              </w:rPr>
              <w:t>具备互联网+推广及媒体广告运营经验，熟悉新媒体的运营模式。</w:t>
            </w:r>
          </w:p>
        </w:tc>
      </w:tr>
      <w:tr w14:paraId="6ED91899">
        <w:tblPrEx>
          <w:tblCellMar>
            <w:top w:w="0" w:type="dxa"/>
            <w:left w:w="0" w:type="dxa"/>
            <w:bottom w:w="0" w:type="dxa"/>
            <w:right w:w="0" w:type="dxa"/>
          </w:tblCellMar>
        </w:tblPrEx>
        <w:trPr>
          <w:trHeight w:val="855" w:hRule="atLeast"/>
        </w:trPr>
        <w:tc>
          <w:tcPr>
            <w:tcW w:w="372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1C254">
            <w:pPr>
              <w:jc w:val="center"/>
              <w:rPr>
                <w:rFonts w:hint="eastAsia" w:ascii="仿宋" w:hAnsi="仿宋" w:eastAsia="仿宋" w:cs="仿宋"/>
                <w:color w:val="000000"/>
                <w:sz w:val="24"/>
              </w:rPr>
            </w:pPr>
            <w:r>
              <w:rPr>
                <w:rFonts w:hint="eastAsia" w:ascii="仿宋" w:hAnsi="仿宋" w:eastAsia="仿宋" w:cs="仿宋"/>
                <w:color w:val="000000"/>
                <w:sz w:val="24"/>
              </w:rPr>
              <w:t>讲师推荐名单</w:t>
            </w:r>
          </w:p>
        </w:tc>
        <w:tc>
          <w:tcPr>
            <w:tcW w:w="67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F9367A">
            <w:pPr>
              <w:jc w:val="left"/>
              <w:rPr>
                <w:rFonts w:hint="eastAsia" w:ascii="仿宋" w:hAnsi="仿宋" w:eastAsia="仿宋" w:cs="仿宋"/>
                <w:color w:val="000000"/>
                <w:sz w:val="24"/>
              </w:rPr>
            </w:pPr>
            <w:r>
              <w:rPr>
                <w:rFonts w:hint="eastAsia" w:ascii="仿宋" w:hAnsi="仿宋" w:eastAsia="仿宋" w:cs="仿宋"/>
                <w:color w:val="000000"/>
                <w:sz w:val="24"/>
              </w:rPr>
              <w:t>（1）广东省人民医院党委书记 耿庆山</w:t>
            </w:r>
          </w:p>
          <w:p w14:paraId="6871BB50">
            <w:pPr>
              <w:jc w:val="left"/>
              <w:rPr>
                <w:rFonts w:hint="eastAsia" w:ascii="仿宋" w:hAnsi="仿宋" w:eastAsia="仿宋" w:cs="仿宋"/>
                <w:color w:val="000000"/>
                <w:sz w:val="24"/>
              </w:rPr>
            </w:pPr>
            <w:r>
              <w:rPr>
                <w:rFonts w:hint="eastAsia" w:ascii="仿宋" w:hAnsi="仿宋" w:eastAsia="仿宋" w:cs="仿宋"/>
                <w:color w:val="000000"/>
                <w:sz w:val="24"/>
              </w:rPr>
              <w:t>（2）佛山市人民医院党委书记 刘永耀</w:t>
            </w:r>
          </w:p>
          <w:p w14:paraId="429C0DB7">
            <w:pPr>
              <w:jc w:val="left"/>
              <w:rPr>
                <w:rFonts w:hint="eastAsia" w:ascii="仿宋" w:hAnsi="仿宋" w:eastAsia="仿宋" w:cs="仿宋"/>
                <w:color w:val="000000"/>
                <w:sz w:val="24"/>
              </w:rPr>
            </w:pPr>
            <w:r>
              <w:rPr>
                <w:rFonts w:hint="eastAsia" w:ascii="仿宋" w:hAnsi="仿宋" w:eastAsia="仿宋" w:cs="仿宋"/>
                <w:color w:val="000000"/>
                <w:sz w:val="24"/>
              </w:rPr>
              <w:t>（3）暨南大学广投中恒健康产业研究院教授 农乐根</w:t>
            </w:r>
          </w:p>
          <w:p w14:paraId="131702C2">
            <w:pPr>
              <w:jc w:val="left"/>
              <w:rPr>
                <w:rFonts w:hint="eastAsia" w:ascii="仿宋" w:hAnsi="仿宋" w:eastAsia="仿宋" w:cs="仿宋"/>
                <w:color w:val="000000"/>
                <w:sz w:val="24"/>
              </w:rPr>
            </w:pPr>
            <w:r>
              <w:rPr>
                <w:rFonts w:hint="eastAsia" w:ascii="仿宋" w:hAnsi="仿宋" w:eastAsia="仿宋" w:cs="仿宋"/>
                <w:color w:val="000000"/>
                <w:sz w:val="24"/>
              </w:rPr>
              <w:t>（4）经济日报主任记者 童政</w:t>
            </w:r>
          </w:p>
          <w:p w14:paraId="537184A4">
            <w:pPr>
              <w:jc w:val="left"/>
              <w:rPr>
                <w:rFonts w:hint="eastAsia" w:ascii="仿宋" w:hAnsi="仿宋" w:eastAsia="仿宋" w:cs="仿宋"/>
                <w:color w:val="000000"/>
                <w:sz w:val="24"/>
              </w:rPr>
            </w:pPr>
            <w:r>
              <w:rPr>
                <w:rFonts w:hint="eastAsia" w:ascii="仿宋" w:hAnsi="仿宋" w:eastAsia="仿宋" w:cs="仿宋"/>
                <w:color w:val="000000"/>
                <w:sz w:val="24"/>
              </w:rPr>
              <w:t>（5）新媒体《医管界》总编辑 许伟明</w:t>
            </w:r>
          </w:p>
          <w:p w14:paraId="251B597B">
            <w:pPr>
              <w:jc w:val="left"/>
              <w:rPr>
                <w:rFonts w:hint="eastAsia" w:ascii="仿宋" w:hAnsi="仿宋" w:eastAsia="仿宋" w:cs="仿宋"/>
                <w:color w:val="000000"/>
                <w:sz w:val="24"/>
              </w:rPr>
            </w:pPr>
            <w:r>
              <w:rPr>
                <w:rFonts w:hint="eastAsia" w:ascii="仿宋" w:hAnsi="仿宋" w:eastAsia="仿宋" w:cs="仿宋"/>
                <w:color w:val="000000"/>
                <w:sz w:val="24"/>
              </w:rPr>
              <w:t>（6）网易广西首席运营官  黎佳鑫</w:t>
            </w:r>
          </w:p>
          <w:p w14:paraId="65789227">
            <w:pPr>
              <w:jc w:val="left"/>
              <w:rPr>
                <w:rFonts w:hint="eastAsia" w:ascii="仿宋" w:hAnsi="仿宋" w:eastAsia="仿宋" w:cs="仿宋"/>
                <w:color w:val="000000"/>
                <w:sz w:val="24"/>
              </w:rPr>
            </w:pPr>
            <w:r>
              <w:rPr>
                <w:rFonts w:hint="eastAsia" w:ascii="仿宋" w:hAnsi="仿宋" w:eastAsia="仿宋" w:cs="仿宋"/>
                <w:color w:val="000000"/>
                <w:sz w:val="24"/>
              </w:rPr>
              <w:t>（7）右江民族医学院副院长 李雪斌</w:t>
            </w:r>
          </w:p>
          <w:p w14:paraId="323F8DBE">
            <w:pPr>
              <w:jc w:val="left"/>
              <w:rPr>
                <w:rFonts w:hint="eastAsia" w:ascii="仿宋" w:hAnsi="仿宋" w:eastAsia="仿宋" w:cs="仿宋"/>
                <w:color w:val="000000"/>
                <w:sz w:val="24"/>
              </w:rPr>
            </w:pPr>
            <w:r>
              <w:rPr>
                <w:rFonts w:hint="eastAsia" w:ascii="仿宋" w:hAnsi="仿宋" w:eastAsia="仿宋" w:cs="仿宋"/>
                <w:color w:val="000000"/>
                <w:sz w:val="24"/>
              </w:rPr>
              <w:t>（8）广西桂林医学院附属医院党委书记 文琼仙</w:t>
            </w:r>
          </w:p>
          <w:p w14:paraId="64BDD981">
            <w:pPr>
              <w:jc w:val="left"/>
              <w:rPr>
                <w:rFonts w:hint="eastAsia" w:ascii="仿宋" w:hAnsi="仿宋" w:eastAsia="仿宋" w:cs="仿宋"/>
                <w:color w:val="000000"/>
                <w:sz w:val="24"/>
              </w:rPr>
            </w:pPr>
            <w:r>
              <w:rPr>
                <w:rFonts w:hint="eastAsia" w:ascii="仿宋" w:hAnsi="仿宋" w:eastAsia="仿宋" w:cs="仿宋"/>
                <w:color w:val="000000"/>
                <w:sz w:val="24"/>
              </w:rPr>
              <w:t>（9）广西柳州铁路中心医院院长 张其顺</w:t>
            </w:r>
          </w:p>
          <w:p w14:paraId="120838E8">
            <w:pPr>
              <w:jc w:val="left"/>
              <w:rPr>
                <w:rFonts w:hint="eastAsia" w:ascii="仿宋" w:hAnsi="仿宋" w:eastAsia="仿宋" w:cs="仿宋"/>
                <w:color w:val="000000"/>
                <w:sz w:val="24"/>
              </w:rPr>
            </w:pPr>
            <w:r>
              <w:rPr>
                <w:rFonts w:hint="eastAsia" w:ascii="仿宋" w:hAnsi="仿宋" w:eastAsia="仿宋" w:cs="仿宋"/>
                <w:color w:val="000000"/>
                <w:sz w:val="24"/>
              </w:rPr>
              <w:t>（10）广西柳州市工人医院党委书记 胡灼君</w:t>
            </w:r>
          </w:p>
        </w:tc>
      </w:tr>
      <w:tr w14:paraId="7060C499">
        <w:tblPrEx>
          <w:tblCellMar>
            <w:top w:w="0" w:type="dxa"/>
            <w:left w:w="0" w:type="dxa"/>
            <w:bottom w:w="0" w:type="dxa"/>
            <w:right w:w="0" w:type="dxa"/>
          </w:tblCellMar>
        </w:tblPrEx>
        <w:trPr>
          <w:trHeight w:val="855" w:hRule="atLeast"/>
        </w:trPr>
        <w:tc>
          <w:tcPr>
            <w:tcW w:w="372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9F5FA8">
            <w:pPr>
              <w:jc w:val="center"/>
              <w:rPr>
                <w:rFonts w:hint="eastAsia" w:ascii="仿宋" w:hAnsi="仿宋" w:eastAsia="仿宋" w:cs="仿宋"/>
                <w:color w:val="000000"/>
                <w:sz w:val="24"/>
              </w:rPr>
            </w:pPr>
            <w:r>
              <w:rPr>
                <w:rFonts w:hint="eastAsia" w:ascii="仿宋" w:hAnsi="仿宋" w:eastAsia="仿宋" w:cs="仿宋"/>
                <w:color w:val="000000"/>
                <w:sz w:val="24"/>
              </w:rPr>
              <w:t>机动讲师</w:t>
            </w:r>
          </w:p>
        </w:tc>
        <w:tc>
          <w:tcPr>
            <w:tcW w:w="67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DC8155">
            <w:pPr>
              <w:jc w:val="center"/>
              <w:rPr>
                <w:rFonts w:hint="eastAsia" w:ascii="仿宋" w:hAnsi="仿宋" w:eastAsia="仿宋" w:cs="仿宋"/>
                <w:color w:val="000000"/>
                <w:sz w:val="24"/>
              </w:rPr>
            </w:pPr>
            <w:r>
              <w:rPr>
                <w:rFonts w:hint="eastAsia" w:ascii="仿宋" w:hAnsi="仿宋" w:eastAsia="仿宋" w:cs="仿宋"/>
                <w:color w:val="000000"/>
                <w:sz w:val="24"/>
              </w:rPr>
              <w:t>如发生推荐讲师行程突发变化等不可控因素，为保证项目如期进行，可设机动讲师一名，要求三甲医院主要领导职务以上专家。</w:t>
            </w:r>
          </w:p>
        </w:tc>
      </w:tr>
    </w:tbl>
    <w:p w14:paraId="1DB6CDCB">
      <w:pPr>
        <w:pStyle w:val="3"/>
        <w:spacing w:line="400" w:lineRule="exact"/>
        <w:ind w:firstLine="0"/>
        <w:rPr>
          <w:rFonts w:ascii="仿宋" w:hAnsi="仿宋" w:eastAsia="仿宋" w:cs="仿宋"/>
          <w:color w:val="000000"/>
          <w:sz w:val="24"/>
          <w:szCs w:val="24"/>
        </w:rPr>
      </w:pPr>
    </w:p>
    <w:p w14:paraId="231F5DDE">
      <w:pPr>
        <w:pStyle w:val="3"/>
        <w:spacing w:line="400" w:lineRule="exact"/>
        <w:ind w:firstLine="466" w:firstLineChars="200"/>
        <w:rPr>
          <w:rFonts w:ascii="仿宋_GB2312" w:hAnsi="宋体" w:eastAsia="仿宋_GB2312"/>
          <w:color w:val="FF0000"/>
          <w:sz w:val="24"/>
        </w:rPr>
      </w:pPr>
      <w:r>
        <w:rPr>
          <w:rFonts w:hint="eastAsia" w:ascii="仿宋_GB2312" w:hAnsi="宋体" w:eastAsia="仿宋_GB2312"/>
          <w:b/>
          <w:bCs/>
          <w:color w:val="FF0000"/>
          <w:sz w:val="24"/>
        </w:rPr>
        <w:t>三、本项目的投标最高限价为：人民币柒万贰仟元整（¥72000.00元），投标总价高于最高限价的作为无效投标处理。</w:t>
      </w:r>
      <w:r>
        <w:rPr>
          <w:rFonts w:hint="eastAsia" w:ascii="仿宋_GB2312" w:hAnsi="宋体" w:eastAsia="仿宋_GB2312"/>
          <w:color w:val="FF0000"/>
          <w:sz w:val="24"/>
        </w:rPr>
        <w:t>。</w:t>
      </w:r>
    </w:p>
    <w:p w14:paraId="370BAC9E">
      <w:pPr>
        <w:spacing w:line="400" w:lineRule="exact"/>
        <w:ind w:firstLine="482" w:firstLineChars="200"/>
        <w:rPr>
          <w:rFonts w:ascii="楷体_GB2312" w:hAnsi="楷体_GB2312" w:eastAsia="楷体_GB2312" w:cs="楷体_GB2312"/>
          <w:b/>
          <w:color w:val="000000"/>
          <w:sz w:val="24"/>
        </w:rPr>
      </w:pPr>
      <w:r>
        <w:rPr>
          <w:rFonts w:hint="eastAsia" w:ascii="仿宋_GB2312" w:hAnsi="宋体" w:eastAsia="仿宋_GB2312"/>
          <w:b/>
          <w:color w:val="000000"/>
          <w:sz w:val="24"/>
        </w:rPr>
        <w:t>四、磋商供应商资格要求：</w:t>
      </w:r>
    </w:p>
    <w:p w14:paraId="0DFEC381">
      <w:pPr>
        <w:pStyle w:val="8"/>
        <w:spacing w:line="400" w:lineRule="exact"/>
        <w:ind w:firstLine="470" w:firstLineChars="196"/>
        <w:rPr>
          <w:rFonts w:ascii="仿宋" w:hAnsi="仿宋" w:eastAsia="仿宋" w:cs="仿宋"/>
          <w:color w:val="000000"/>
        </w:rPr>
      </w:pPr>
      <w:r>
        <w:rPr>
          <w:rFonts w:hint="eastAsia" w:ascii="仿宋_GB2312" w:hAnsi="宋体" w:eastAsia="仿宋_GB2312"/>
          <w:color w:val="000000"/>
        </w:rPr>
        <w:t>1、</w:t>
      </w:r>
      <w:r>
        <w:rPr>
          <w:rFonts w:hint="eastAsia" w:ascii="仿宋" w:hAnsi="仿宋" w:eastAsia="仿宋" w:cs="仿宋"/>
          <w:color w:val="000000"/>
        </w:rPr>
        <w:t>凡符合《中华人民共和国政府采购法》第二十二条的要求，在中华人民共和国依照《中华人民共和国公司法》注册的具有独立法人资格，且具有相应经营资质单位均可报名参加。</w:t>
      </w:r>
    </w:p>
    <w:p w14:paraId="558D0324">
      <w:pPr>
        <w:pStyle w:val="8"/>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2、</w:t>
      </w:r>
      <w:r>
        <w:rPr>
          <w:rFonts w:hint="eastAsia" w:ascii="仿宋" w:hAnsi="仿宋" w:eastAsia="仿宋" w:cs="仿宋"/>
          <w:color w:val="000000"/>
        </w:rPr>
        <w:t>供应商须具有法定部门颁发的有效的营业执照、税务登记、组织机构代码证、法定代表人授权委托书等相关证件；提供（单位）资质证书及法人信息资料。</w:t>
      </w:r>
    </w:p>
    <w:p w14:paraId="18F51529">
      <w:pPr>
        <w:pStyle w:val="8"/>
        <w:spacing w:line="400" w:lineRule="exact"/>
        <w:ind w:firstLine="470" w:firstLineChars="196"/>
        <w:rPr>
          <w:rFonts w:ascii="仿宋_GB2312" w:hAnsi="宋体" w:eastAsia="仿宋_GB2312"/>
          <w:color w:val="FF0000"/>
        </w:rPr>
      </w:pPr>
      <w:r>
        <w:rPr>
          <w:rFonts w:hint="eastAsia" w:ascii="仿宋_GB2312" w:hAnsi="宋体" w:eastAsia="仿宋_GB2312"/>
          <w:color w:val="FF0000"/>
        </w:rPr>
        <w:t>3、供应商 2017 年 1 月 1 日至今有类似与党政机关、事业单位、或大中型企业发生过有关类似项目采购的业务合同或政府采购成交通知书。</w:t>
      </w:r>
    </w:p>
    <w:p w14:paraId="4254FAC5">
      <w:pPr>
        <w:pStyle w:val="8"/>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4、供应商应符合《中华人民共和国政府采购法》第二十二条第一款规定的条件并按《政府采购法实施条例》第十七条第一款规定提供相关证明材料。</w:t>
      </w:r>
    </w:p>
    <w:p w14:paraId="0069C501">
      <w:pPr>
        <w:pStyle w:val="8"/>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5、单位负责人为同一人或者存在直接控股、管理关系的不同供应商，不得参加同一合同项下（同一包号）的政府采购活动，否则投标均无效。</w:t>
      </w:r>
    </w:p>
    <w:p w14:paraId="4CCFCD00">
      <w:pPr>
        <w:pStyle w:val="8"/>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6、本次采购不接受联合体报价。</w:t>
      </w:r>
    </w:p>
    <w:p w14:paraId="4E050440">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7、报名截止日期：</w:t>
      </w:r>
      <w:r>
        <w:rPr>
          <w:rFonts w:hint="eastAsia" w:ascii="仿宋_GB2312" w:hAnsi="宋体" w:eastAsia="仿宋_GB2312"/>
          <w:color w:val="FF0000"/>
          <w:sz w:val="24"/>
          <w:u w:val="single"/>
        </w:rPr>
        <w:t>2019年</w:t>
      </w:r>
      <w:ins w:id="0" w:author="龙艺夫" w:date="2019-11-20T16:24:20Z">
        <w:r>
          <w:rPr>
            <w:rFonts w:hint="eastAsia" w:ascii="仿宋_GB2312" w:hAnsi="宋体" w:eastAsia="仿宋_GB2312"/>
            <w:color w:val="FF0000"/>
            <w:sz w:val="24"/>
            <w:u w:val="single"/>
            <w:lang w:val="en-US" w:eastAsia="zh-CN"/>
          </w:rPr>
          <w:t>1</w:t>
        </w:r>
      </w:ins>
      <w:ins w:id="1" w:author="龙艺夫" w:date="2019-11-20T16:24:21Z">
        <w:r>
          <w:rPr>
            <w:rFonts w:hint="eastAsia" w:ascii="仿宋_GB2312" w:hAnsi="宋体" w:eastAsia="仿宋_GB2312"/>
            <w:color w:val="FF0000"/>
            <w:sz w:val="24"/>
            <w:u w:val="single"/>
            <w:lang w:val="en-US" w:eastAsia="zh-CN"/>
          </w:rPr>
          <w:t>1</w:t>
        </w:r>
      </w:ins>
      <w:del w:id="2" w:author="龙艺夫" w:date="2019-11-20T16:24:21Z">
        <w:r>
          <w:rPr>
            <w:rFonts w:hint="eastAsia" w:ascii="仿宋_GB2312" w:hAnsi="宋体" w:eastAsia="仿宋_GB2312"/>
            <w:color w:val="FF0000"/>
            <w:sz w:val="24"/>
            <w:u w:val="single"/>
          </w:rPr>
          <w:delText xml:space="preserve"> </w:delText>
        </w:r>
      </w:del>
      <w:del w:id="3" w:author="龙艺夫" w:date="2019-11-20T16:24:22Z">
        <w:r>
          <w:rPr>
            <w:rFonts w:hint="eastAsia" w:ascii="仿宋_GB2312" w:hAnsi="宋体" w:eastAsia="仿宋_GB2312"/>
            <w:color w:val="FF0000"/>
            <w:sz w:val="24"/>
            <w:u w:val="single"/>
          </w:rPr>
          <w:delText xml:space="preserve"> </w:delText>
        </w:r>
      </w:del>
      <w:r>
        <w:rPr>
          <w:rFonts w:hint="eastAsia" w:ascii="仿宋_GB2312" w:hAnsi="宋体" w:eastAsia="仿宋_GB2312"/>
          <w:color w:val="FF0000"/>
          <w:sz w:val="24"/>
          <w:u w:val="single"/>
        </w:rPr>
        <w:t>月</w:t>
      </w:r>
      <w:ins w:id="4" w:author="龙艺夫" w:date="2019-11-20T16:24:24Z">
        <w:r>
          <w:rPr>
            <w:rFonts w:hint="eastAsia" w:ascii="仿宋_GB2312" w:hAnsi="宋体" w:eastAsia="仿宋_GB2312"/>
            <w:color w:val="FF0000"/>
            <w:sz w:val="24"/>
            <w:u w:val="single"/>
            <w:lang w:val="en-US" w:eastAsia="zh-CN"/>
          </w:rPr>
          <w:t>29</w:t>
        </w:r>
      </w:ins>
      <w:del w:id="5" w:author="龙艺夫" w:date="2019-11-20T16:24:25Z">
        <w:r>
          <w:rPr>
            <w:rFonts w:hint="eastAsia" w:ascii="仿宋_GB2312" w:hAnsi="宋体" w:eastAsia="仿宋_GB2312"/>
            <w:color w:val="FF0000"/>
            <w:sz w:val="24"/>
            <w:u w:val="single"/>
          </w:rPr>
          <w:delText xml:space="preserve">  </w:delText>
        </w:r>
      </w:del>
      <w:r>
        <w:rPr>
          <w:rFonts w:hint="eastAsia" w:ascii="仿宋_GB2312" w:hAnsi="宋体" w:eastAsia="仿宋_GB2312"/>
          <w:color w:val="FF0000"/>
          <w:sz w:val="24"/>
          <w:u w:val="single"/>
        </w:rPr>
        <w:t>日</w:t>
      </w:r>
      <w:ins w:id="6" w:author="龙艺夫" w:date="2019-11-20T16:24:29Z">
        <w:r>
          <w:rPr>
            <w:rFonts w:hint="eastAsia" w:ascii="仿宋_GB2312" w:hAnsi="宋体" w:eastAsia="仿宋_GB2312"/>
            <w:color w:val="FF0000"/>
            <w:sz w:val="24"/>
            <w:u w:val="single"/>
            <w:lang w:val="en-US" w:eastAsia="zh-CN"/>
          </w:rPr>
          <w:t>17</w:t>
        </w:r>
      </w:ins>
      <w:del w:id="7" w:author="龙艺夫" w:date="2019-11-20T16:24:30Z">
        <w:r>
          <w:rPr>
            <w:rFonts w:hint="eastAsia" w:ascii="仿宋_GB2312" w:hAnsi="宋体" w:eastAsia="仿宋_GB2312"/>
            <w:color w:val="FF0000"/>
            <w:sz w:val="24"/>
            <w:u w:val="single"/>
          </w:rPr>
          <w:delText xml:space="preserve"> </w:delText>
        </w:r>
      </w:del>
      <w:del w:id="8" w:author="龙艺夫" w:date="2019-11-20T16:24:31Z">
        <w:r>
          <w:rPr>
            <w:rFonts w:hint="eastAsia" w:ascii="仿宋_GB2312" w:hAnsi="宋体" w:eastAsia="仿宋_GB2312"/>
            <w:color w:val="FF0000"/>
            <w:sz w:val="24"/>
            <w:u w:val="single"/>
          </w:rPr>
          <w:delText xml:space="preserve"> </w:delText>
        </w:r>
      </w:del>
      <w:r>
        <w:rPr>
          <w:rFonts w:hint="eastAsia" w:ascii="仿宋_GB2312" w:hAnsi="宋体" w:eastAsia="仿宋_GB2312"/>
          <w:color w:val="FF0000"/>
          <w:sz w:val="24"/>
          <w:u w:val="single"/>
        </w:rPr>
        <w:t>时</w:t>
      </w:r>
      <w:r>
        <w:rPr>
          <w:rFonts w:hint="eastAsia" w:ascii="仿宋_GB2312" w:hAnsi="宋体" w:eastAsia="仿宋_GB2312"/>
          <w:color w:val="000000"/>
          <w:sz w:val="24"/>
        </w:rPr>
        <w:t>，逾期不受理</w:t>
      </w:r>
    </w:p>
    <w:p w14:paraId="1D34E715">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8、报名地点：南宁市第一人民医院9号楼二楼总务科203室。</w:t>
      </w:r>
    </w:p>
    <w:p w14:paraId="562B80FF">
      <w:pPr>
        <w:pStyle w:val="2"/>
        <w:rPr>
          <w:rFonts w:ascii="仿宋_GB2312" w:hAnsi="宋体" w:eastAsia="仿宋_GB2312"/>
          <w:color w:val="000000"/>
          <w:sz w:val="24"/>
        </w:rPr>
      </w:pPr>
      <w:r>
        <w:rPr>
          <w:rFonts w:hint="eastAsia" w:ascii="仿宋_GB2312" w:hAnsi="宋体" w:eastAsia="仿宋_GB2312"/>
          <w:color w:val="000000"/>
          <w:sz w:val="24"/>
        </w:rPr>
        <w:t xml:space="preserve">       联系电话：0771-2636283</w:t>
      </w:r>
    </w:p>
    <w:p w14:paraId="072077A3">
      <w:pPr>
        <w:pStyle w:val="8"/>
        <w:numPr>
          <w:ilvl w:val="0"/>
          <w:numId w:val="2"/>
        </w:numPr>
        <w:spacing w:line="400" w:lineRule="exact"/>
        <w:ind w:firstLine="482" w:firstLineChars="200"/>
        <w:rPr>
          <w:rFonts w:ascii="仿宋_GB2312" w:hAnsi="宋体" w:eastAsia="仿宋_GB2312"/>
          <w:b/>
          <w:color w:val="000000"/>
        </w:rPr>
      </w:pPr>
      <w:r>
        <w:rPr>
          <w:rFonts w:hint="eastAsia" w:ascii="仿宋_GB2312" w:hAnsi="宋体" w:eastAsia="仿宋_GB2312"/>
          <w:b/>
          <w:color w:val="000000"/>
        </w:rPr>
        <w:t>磋商时间及地点：</w:t>
      </w:r>
    </w:p>
    <w:p w14:paraId="7B1DDEFF">
      <w:pPr>
        <w:pStyle w:val="8"/>
        <w:spacing w:line="400" w:lineRule="exact"/>
        <w:ind w:firstLine="480" w:firstLineChars="200"/>
        <w:rPr>
          <w:rFonts w:ascii="仿宋_GB2312" w:hAnsi="宋体" w:eastAsia="仿宋_GB2312"/>
          <w:color w:val="000000"/>
        </w:rPr>
      </w:pPr>
      <w:r>
        <w:rPr>
          <w:rFonts w:hint="eastAsia" w:ascii="仿宋_GB2312" w:hAnsi="宋体" w:eastAsia="仿宋_GB2312"/>
          <w:color w:val="FF0000"/>
        </w:rPr>
        <w:t>2019年</w:t>
      </w:r>
      <w:ins w:id="9" w:author="龙艺夫" w:date="2019-11-20T16:24:37Z">
        <w:r>
          <w:rPr>
            <w:rFonts w:hint="eastAsia" w:ascii="仿宋_GB2312" w:hAnsi="宋体" w:eastAsia="仿宋_GB2312"/>
            <w:color w:val="FF0000"/>
            <w:lang w:val="en-US" w:eastAsia="zh-CN"/>
          </w:rPr>
          <w:t>12</w:t>
        </w:r>
      </w:ins>
      <w:r>
        <w:rPr>
          <w:rFonts w:hint="eastAsia" w:ascii="仿宋_GB2312" w:hAnsi="宋体" w:eastAsia="仿宋_GB2312"/>
          <w:color w:val="FF0000"/>
        </w:rPr>
        <w:t>月</w:t>
      </w:r>
      <w:ins w:id="10" w:author="龙艺夫" w:date="2019-11-20T16:24:39Z">
        <w:r>
          <w:rPr>
            <w:rFonts w:hint="eastAsia" w:ascii="仿宋_GB2312" w:hAnsi="宋体" w:eastAsia="仿宋_GB2312"/>
            <w:color w:val="FF0000"/>
            <w:lang w:val="en-US" w:eastAsia="zh-CN"/>
          </w:rPr>
          <w:t>2</w:t>
        </w:r>
      </w:ins>
      <w:r>
        <w:rPr>
          <w:rFonts w:hint="eastAsia" w:ascii="仿宋_GB2312" w:hAnsi="宋体" w:eastAsia="仿宋_GB2312"/>
          <w:color w:val="FF0000"/>
        </w:rPr>
        <w:t>日</w:t>
      </w:r>
      <w:ins w:id="11" w:author="龙艺夫" w:date="2019-11-20T16:24:43Z">
        <w:r>
          <w:rPr>
            <w:rFonts w:hint="eastAsia" w:ascii="仿宋_GB2312" w:hAnsi="宋体" w:eastAsia="仿宋_GB2312"/>
            <w:color w:val="FF0000"/>
            <w:lang w:val="en-US" w:eastAsia="zh-CN"/>
          </w:rPr>
          <w:t>16</w:t>
        </w:r>
      </w:ins>
      <w:del w:id="12" w:author="龙艺夫" w:date="2019-11-20T16:24:45Z">
        <w:r>
          <w:rPr>
            <w:rFonts w:hint="eastAsia" w:ascii="仿宋_GB2312" w:hAnsi="宋体" w:eastAsia="仿宋_GB2312"/>
            <w:color w:val="FF0000"/>
            <w:u w:val="single"/>
          </w:rPr>
          <w:delText xml:space="preserve"> </w:delText>
        </w:r>
      </w:del>
      <w:del w:id="13" w:author="龙艺夫" w:date="2019-11-20T16:24:46Z">
        <w:r>
          <w:rPr>
            <w:rFonts w:hint="eastAsia" w:ascii="仿宋_GB2312" w:hAnsi="宋体" w:eastAsia="仿宋_GB2312"/>
            <w:color w:val="FF0000"/>
            <w:u w:val="single"/>
          </w:rPr>
          <w:delText xml:space="preserve"> </w:delText>
        </w:r>
      </w:del>
      <w:del w:id="14" w:author="龙艺夫" w:date="2019-11-20T16:24:47Z">
        <w:r>
          <w:rPr>
            <w:rFonts w:hint="eastAsia" w:ascii="仿宋_GB2312" w:hAnsi="宋体" w:eastAsia="仿宋_GB2312"/>
            <w:color w:val="FF0000"/>
            <w:u w:val="single"/>
          </w:rPr>
          <w:delText xml:space="preserve">  </w:delText>
        </w:r>
      </w:del>
      <w:r>
        <w:rPr>
          <w:rFonts w:hint="eastAsia" w:ascii="仿宋_GB2312" w:hAnsi="宋体" w:eastAsia="仿宋_GB2312"/>
          <w:color w:val="FF0000"/>
          <w:u w:val="single"/>
        </w:rPr>
        <w:t>时</w:t>
      </w:r>
      <w:r>
        <w:rPr>
          <w:rFonts w:hint="eastAsia" w:ascii="仿宋_GB2312" w:hAnsi="宋体" w:eastAsia="仿宋_GB2312"/>
          <w:color w:val="000000"/>
        </w:rPr>
        <w:t>为磋商小组与磋商供应商磋商时间（若有变动，另行通知）。</w:t>
      </w:r>
      <w:r>
        <w:rPr>
          <w:rFonts w:hint="eastAsia" w:ascii="仿宋_GB2312" w:hAnsi="宋体" w:eastAsia="仿宋_GB2312"/>
          <w:color w:val="FF0000"/>
        </w:rPr>
        <w:t>地点：南宁市第一人民医院10号楼3楼职工活动室</w:t>
      </w:r>
      <w:r>
        <w:rPr>
          <w:rFonts w:hint="eastAsia" w:ascii="仿宋_GB2312" w:hAnsi="宋体" w:eastAsia="仿宋_GB2312"/>
          <w:color w:val="000000"/>
        </w:rPr>
        <w:t xml:space="preserve"> （若有变动，另行通知），参加竞标的法定代表人（负责人）或委托代理人必须持有效证件[法定代表人（负责人）凭身份证或委托代理人凭法人授权委托书原件和身份证]依时到达指定地点等候当面磋商。</w:t>
      </w:r>
    </w:p>
    <w:p w14:paraId="21BCBDF8">
      <w:pPr>
        <w:pStyle w:val="8"/>
        <w:spacing w:line="400" w:lineRule="exact"/>
        <w:ind w:firstLine="472" w:firstLineChars="196"/>
        <w:rPr>
          <w:rFonts w:ascii="仿宋_GB2312" w:hAnsi="宋体" w:eastAsia="仿宋_GB2312"/>
          <w:b/>
          <w:color w:val="000000"/>
        </w:rPr>
      </w:pPr>
      <w:r>
        <w:rPr>
          <w:rFonts w:hint="eastAsia" w:ascii="仿宋_GB2312" w:hAnsi="宋体" w:eastAsia="仿宋_GB2312"/>
          <w:b/>
          <w:color w:val="000000"/>
        </w:rPr>
        <w:t>七、付款方式</w:t>
      </w:r>
    </w:p>
    <w:p w14:paraId="1B8375FD">
      <w:pPr>
        <w:pStyle w:val="8"/>
        <w:spacing w:line="400" w:lineRule="exact"/>
        <w:ind w:firstLine="480" w:firstLineChars="200"/>
        <w:rPr>
          <w:rFonts w:ascii="仿宋_GB2312" w:hAnsi="宋体" w:eastAsia="仿宋_GB2312"/>
          <w:color w:val="000000"/>
        </w:rPr>
      </w:pPr>
      <w:r>
        <w:rPr>
          <w:rFonts w:hint="eastAsia" w:ascii="仿宋_GB2312" w:hAnsi="宋体" w:eastAsia="仿宋_GB2312"/>
          <w:color w:val="000000"/>
        </w:rPr>
        <w:t>区级继续教育项目顺利举办结束后，乙方开具正规发票给甲方，甲方在收到发票起</w:t>
      </w:r>
      <w:r>
        <w:rPr>
          <w:rFonts w:ascii="仿宋_GB2312" w:hAnsi="宋体" w:eastAsia="仿宋_GB2312"/>
          <w:color w:val="000000"/>
        </w:rPr>
        <w:t>1</w:t>
      </w:r>
      <w:r>
        <w:rPr>
          <w:rFonts w:hint="eastAsia" w:ascii="仿宋_GB2312" w:hAnsi="宋体" w:eastAsia="仿宋_GB2312"/>
          <w:color w:val="000000"/>
        </w:rPr>
        <w:t>0日内向乙方支付合同金额的全款。</w:t>
      </w:r>
    </w:p>
    <w:p w14:paraId="5AD4A306">
      <w:pPr>
        <w:pStyle w:val="8"/>
        <w:spacing w:line="400" w:lineRule="exact"/>
        <w:ind w:firstLine="482" w:firstLineChars="200"/>
        <w:rPr>
          <w:rFonts w:ascii="仿宋_GB2312" w:hAnsi="宋体" w:eastAsia="仿宋_GB2312"/>
          <w:color w:val="000000"/>
        </w:rPr>
      </w:pPr>
      <w:r>
        <w:rPr>
          <w:rFonts w:hint="eastAsia" w:ascii="仿宋_GB2312" w:hAnsi="宋体" w:eastAsia="仿宋_GB2312"/>
          <w:b/>
          <w:color w:val="000000"/>
        </w:rPr>
        <w:t>八、联系事项</w:t>
      </w:r>
    </w:p>
    <w:p w14:paraId="1071D1E8">
      <w:pPr>
        <w:pStyle w:val="8"/>
        <w:spacing w:line="400" w:lineRule="exact"/>
        <w:ind w:firstLine="480" w:firstLineChars="200"/>
        <w:rPr>
          <w:rFonts w:ascii="仿宋_GB2312" w:hAnsi="宋体" w:eastAsia="仿宋_GB2312"/>
          <w:color w:val="000000"/>
        </w:rPr>
      </w:pPr>
      <w:r>
        <w:rPr>
          <w:rFonts w:hint="eastAsia" w:ascii="仿宋_GB2312" w:hAnsi="宋体" w:eastAsia="仿宋_GB2312"/>
          <w:color w:val="000000"/>
        </w:rPr>
        <w:t>具体事宜请电话咨询南宁市第一人民医院总务科</w:t>
      </w:r>
    </w:p>
    <w:p w14:paraId="49462A06">
      <w:pPr>
        <w:pStyle w:val="8"/>
        <w:spacing w:line="400" w:lineRule="exact"/>
        <w:ind w:firstLine="480" w:firstLineChars="200"/>
        <w:rPr>
          <w:rFonts w:ascii="仿宋_GB2312" w:hAnsi="宋体" w:eastAsia="仿宋_GB2312"/>
          <w:color w:val="000000"/>
        </w:rPr>
      </w:pPr>
      <w:r>
        <w:rPr>
          <w:rFonts w:hint="eastAsia" w:ascii="仿宋_GB2312" w:hAnsi="宋体" w:eastAsia="仿宋_GB2312"/>
          <w:color w:val="000000"/>
        </w:rPr>
        <w:t>电话：0771-2636283</w:t>
      </w:r>
    </w:p>
    <w:p w14:paraId="361B7598">
      <w:pPr>
        <w:pStyle w:val="8"/>
        <w:spacing w:line="400" w:lineRule="exact"/>
        <w:ind w:firstLine="480" w:firstLineChars="200"/>
        <w:rPr>
          <w:rFonts w:ascii="仿宋_GB2312" w:hAnsi="宋体" w:eastAsia="仿宋_GB2312"/>
          <w:color w:val="000000"/>
        </w:rPr>
      </w:pPr>
      <w:r>
        <w:rPr>
          <w:rFonts w:hint="eastAsia" w:ascii="仿宋_GB2312" w:hAnsi="宋体" w:eastAsia="仿宋_GB2312"/>
          <w:color w:val="000000"/>
        </w:rPr>
        <w:t>联系人：韦亨</w:t>
      </w:r>
    </w:p>
    <w:p w14:paraId="4045F51B">
      <w:pPr>
        <w:pStyle w:val="8"/>
        <w:spacing w:line="400" w:lineRule="exact"/>
        <w:ind w:firstLine="480" w:firstLineChars="200"/>
        <w:rPr>
          <w:rFonts w:ascii="仿宋_GB2312" w:hAnsi="宋体" w:eastAsia="仿宋_GB2312"/>
          <w:color w:val="000000"/>
        </w:rPr>
      </w:pPr>
    </w:p>
    <w:p w14:paraId="4E1F77FB">
      <w:pPr>
        <w:pStyle w:val="8"/>
        <w:spacing w:line="400" w:lineRule="exact"/>
        <w:rPr>
          <w:rFonts w:ascii="仿宋_GB2312" w:hAnsi="宋体" w:eastAsia="仿宋_GB2312"/>
          <w:b/>
          <w:color w:val="000000"/>
        </w:rPr>
      </w:pPr>
    </w:p>
    <w:p w14:paraId="45B9809A">
      <w:pPr>
        <w:pStyle w:val="8"/>
        <w:spacing w:line="400" w:lineRule="exact"/>
        <w:ind w:firstLine="6252" w:firstLineChars="2595"/>
        <w:rPr>
          <w:rFonts w:ascii="仿宋_GB2312" w:hAnsi="宋体" w:eastAsia="仿宋_GB2312"/>
          <w:b/>
          <w:color w:val="000000"/>
        </w:rPr>
      </w:pPr>
    </w:p>
    <w:p w14:paraId="7E1CACB4">
      <w:pPr>
        <w:pStyle w:val="8"/>
        <w:spacing w:line="400" w:lineRule="exact"/>
        <w:ind w:firstLine="6252" w:firstLineChars="2595"/>
        <w:rPr>
          <w:rFonts w:ascii="仿宋_GB2312" w:hAnsi="宋体" w:eastAsia="仿宋_GB2312"/>
          <w:b/>
          <w:color w:val="000000"/>
        </w:rPr>
      </w:pPr>
    </w:p>
    <w:p w14:paraId="3808968F">
      <w:pPr>
        <w:pStyle w:val="8"/>
        <w:spacing w:line="400" w:lineRule="exact"/>
        <w:ind w:firstLine="6252" w:firstLineChars="2595"/>
        <w:rPr>
          <w:rFonts w:ascii="仿宋_GB2312" w:hAnsi="宋体" w:eastAsia="仿宋_GB2312"/>
          <w:b/>
          <w:color w:val="000000"/>
        </w:rPr>
      </w:pPr>
    </w:p>
    <w:p w14:paraId="7EB0A8F4">
      <w:pPr>
        <w:pStyle w:val="8"/>
        <w:spacing w:line="400" w:lineRule="exact"/>
        <w:ind w:firstLine="6252" w:firstLineChars="2595"/>
        <w:rPr>
          <w:rFonts w:ascii="仿宋_GB2312" w:hAnsi="宋体" w:eastAsia="仿宋_GB2312"/>
          <w:b/>
          <w:color w:val="000000"/>
        </w:rPr>
      </w:pPr>
      <w:r>
        <w:rPr>
          <w:rFonts w:hint="eastAsia" w:ascii="仿宋_GB2312" w:hAnsi="宋体" w:eastAsia="仿宋_GB2312"/>
          <w:b/>
          <w:color w:val="000000"/>
        </w:rPr>
        <w:t>南宁市第一人民医院</w:t>
      </w:r>
    </w:p>
    <w:p w14:paraId="33F76936">
      <w:pPr>
        <w:pStyle w:val="8"/>
        <w:spacing w:line="400" w:lineRule="exact"/>
        <w:ind w:firstLine="6493" w:firstLineChars="2695"/>
        <w:rPr>
          <w:rFonts w:ascii="仿宋_GB2312" w:hAnsi="宋体" w:eastAsia="仿宋_GB2312"/>
          <w:color w:val="000000"/>
        </w:rPr>
      </w:pPr>
      <w:r>
        <w:rPr>
          <w:rFonts w:hint="eastAsia" w:ascii="仿宋_GB2312" w:hAnsi="宋体" w:eastAsia="仿宋_GB2312"/>
          <w:b/>
          <w:color w:val="FF0000"/>
          <w:u w:val="single"/>
        </w:rPr>
        <w:t xml:space="preserve"> 2019年</w:t>
      </w:r>
      <w:ins w:id="15" w:author="龙艺夫" w:date="2019-11-20T16:24:54Z">
        <w:r>
          <w:rPr>
            <w:rFonts w:hint="eastAsia" w:ascii="仿宋_GB2312" w:hAnsi="宋体" w:eastAsia="仿宋_GB2312"/>
            <w:b/>
            <w:color w:val="FF0000"/>
            <w:u w:val="single"/>
            <w:lang w:val="en-US" w:eastAsia="zh-CN"/>
          </w:rPr>
          <w:t>11</w:t>
        </w:r>
      </w:ins>
      <w:r>
        <w:rPr>
          <w:rFonts w:hint="eastAsia" w:ascii="仿宋_GB2312" w:hAnsi="宋体" w:eastAsia="仿宋_GB2312"/>
          <w:b/>
          <w:color w:val="FF0000"/>
          <w:u w:val="single"/>
        </w:rPr>
        <w:t>月</w:t>
      </w:r>
      <w:ins w:id="16" w:author="龙艺夫" w:date="2019-11-20T16:24:55Z">
        <w:r>
          <w:rPr>
            <w:rFonts w:hint="eastAsia" w:ascii="仿宋_GB2312" w:hAnsi="宋体" w:eastAsia="仿宋_GB2312"/>
            <w:b/>
            <w:color w:val="FF0000"/>
            <w:u w:val="single"/>
            <w:lang w:val="en-US" w:eastAsia="zh-CN"/>
          </w:rPr>
          <w:t>2</w:t>
        </w:r>
      </w:ins>
      <w:ins w:id="17" w:author="龙艺夫" w:date="2019-11-20T16:24:56Z">
        <w:r>
          <w:rPr>
            <w:rFonts w:hint="eastAsia" w:ascii="仿宋_GB2312" w:hAnsi="宋体" w:eastAsia="仿宋_GB2312"/>
            <w:b/>
            <w:color w:val="FF0000"/>
            <w:u w:val="single"/>
            <w:lang w:val="en-US" w:eastAsia="zh-CN"/>
          </w:rPr>
          <w:t>0</w:t>
        </w:r>
      </w:ins>
      <w:r>
        <w:rPr>
          <w:rFonts w:hint="eastAsia" w:ascii="仿宋_GB2312" w:hAnsi="宋体" w:eastAsia="仿宋_GB2312"/>
          <w:b/>
          <w:color w:val="FF0000"/>
          <w:u w:val="single"/>
        </w:rPr>
        <w:t>日</w:t>
      </w:r>
    </w:p>
    <w:p w14:paraId="51D893F0">
      <w:pPr>
        <w:jc w:val="center"/>
        <w:rPr>
          <w:rFonts w:ascii="仿宋_GB2312" w:hAnsi="宋体" w:eastAsia="仿宋_GB2312"/>
          <w:color w:val="000000"/>
          <w:sz w:val="24"/>
        </w:rPr>
      </w:pPr>
    </w:p>
    <w:p w14:paraId="575484F1">
      <w:pPr>
        <w:outlineLvl w:val="0"/>
        <w:rPr>
          <w:rFonts w:ascii="仿宋_GB2312" w:eastAsia="仿宋_GB2312"/>
          <w:b/>
          <w:color w:val="000000"/>
          <w:sz w:val="32"/>
        </w:rPr>
      </w:pPr>
      <w:bookmarkStart w:id="8" w:name="_Toc464692181"/>
      <w:r>
        <w:rPr>
          <w:rFonts w:hint="eastAsia" w:ascii="仿宋_GB2312" w:hAnsi="宋体" w:eastAsia="仿宋_GB2312"/>
          <w:b/>
          <w:color w:val="000000"/>
          <w:sz w:val="32"/>
          <w:szCs w:val="32"/>
        </w:rPr>
        <w:br w:type="page"/>
      </w:r>
      <w:r>
        <w:rPr>
          <w:rFonts w:hint="eastAsia" w:ascii="仿宋_GB2312" w:hAnsi="宋体" w:eastAsia="仿宋_GB2312"/>
          <w:b/>
          <w:color w:val="000000"/>
          <w:sz w:val="32"/>
          <w:szCs w:val="32"/>
        </w:rPr>
        <w:t xml:space="preserve">第一章 </w:t>
      </w:r>
      <w:r>
        <w:rPr>
          <w:rFonts w:hint="eastAsia" w:ascii="仿宋_GB2312" w:eastAsia="仿宋_GB2312"/>
          <w:b/>
          <w:color w:val="000000"/>
          <w:sz w:val="32"/>
        </w:rPr>
        <w:t>磋商供应商须知前附表</w:t>
      </w:r>
      <w:bookmarkEnd w:id="8"/>
    </w:p>
    <w:p w14:paraId="75220392">
      <w:pPr>
        <w:jc w:val="center"/>
        <w:rPr>
          <w:color w:val="000000"/>
          <w:sz w:val="32"/>
        </w:rPr>
      </w:pPr>
    </w:p>
    <w:tbl>
      <w:tblPr>
        <w:tblStyle w:val="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13"/>
      </w:tblGrid>
      <w:tr w14:paraId="66A1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noWrap/>
          </w:tcPr>
          <w:p w14:paraId="75413037">
            <w:pPr>
              <w:jc w:val="center"/>
              <w:rPr>
                <w:rFonts w:ascii="仿宋_GB2312" w:eastAsia="仿宋_GB2312"/>
                <w:color w:val="000000"/>
                <w:sz w:val="24"/>
              </w:rPr>
            </w:pPr>
            <w:r>
              <w:rPr>
                <w:rFonts w:hint="eastAsia" w:ascii="仿宋_GB2312" w:eastAsia="仿宋_GB2312"/>
                <w:color w:val="000000"/>
                <w:sz w:val="24"/>
              </w:rPr>
              <w:t>序号</w:t>
            </w:r>
          </w:p>
        </w:tc>
        <w:tc>
          <w:tcPr>
            <w:tcW w:w="8313" w:type="dxa"/>
            <w:noWrap/>
          </w:tcPr>
          <w:p w14:paraId="19704042">
            <w:pPr>
              <w:jc w:val="center"/>
              <w:rPr>
                <w:rFonts w:ascii="仿宋_GB2312" w:eastAsia="仿宋_GB2312"/>
                <w:color w:val="000000"/>
                <w:sz w:val="24"/>
              </w:rPr>
            </w:pPr>
            <w:r>
              <w:rPr>
                <w:rFonts w:hint="eastAsia" w:ascii="仿宋_GB2312" w:eastAsia="仿宋_GB2312"/>
                <w:color w:val="000000"/>
                <w:sz w:val="24"/>
              </w:rPr>
              <w:t>内    容</w:t>
            </w:r>
          </w:p>
        </w:tc>
      </w:tr>
      <w:tr w14:paraId="4646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noWrap/>
            <w:vAlign w:val="center"/>
          </w:tcPr>
          <w:p w14:paraId="4230A0D8">
            <w:pPr>
              <w:spacing w:line="400" w:lineRule="exact"/>
              <w:jc w:val="center"/>
              <w:rPr>
                <w:rFonts w:ascii="仿宋_GB2312" w:eastAsia="仿宋_GB2312"/>
                <w:color w:val="000000"/>
                <w:sz w:val="24"/>
              </w:rPr>
            </w:pPr>
            <w:r>
              <w:rPr>
                <w:rFonts w:hint="eastAsia" w:ascii="仿宋_GB2312" w:eastAsia="仿宋_GB2312"/>
                <w:color w:val="000000"/>
                <w:sz w:val="24"/>
              </w:rPr>
              <w:t>1</w:t>
            </w:r>
          </w:p>
        </w:tc>
        <w:tc>
          <w:tcPr>
            <w:tcW w:w="8313" w:type="dxa"/>
            <w:noWrap/>
            <w:vAlign w:val="center"/>
          </w:tcPr>
          <w:p w14:paraId="4776A632">
            <w:pPr>
              <w:spacing w:line="400" w:lineRule="exact"/>
              <w:rPr>
                <w:rFonts w:ascii="仿宋_GB2312" w:eastAsia="仿宋_GB2312"/>
                <w:color w:val="000000"/>
                <w:sz w:val="24"/>
              </w:rPr>
            </w:pPr>
            <w:r>
              <w:rPr>
                <w:rFonts w:hint="eastAsia" w:ascii="仿宋_GB2312" w:eastAsia="仿宋_GB2312"/>
                <w:color w:val="000000"/>
                <w:sz w:val="24"/>
              </w:rPr>
              <w:t>项目名称：</w:t>
            </w:r>
            <w:r>
              <w:rPr>
                <w:rFonts w:hint="eastAsia" w:ascii="仿宋" w:hAnsi="仿宋" w:eastAsia="仿宋" w:cs="仿宋"/>
                <w:color w:val="000000"/>
                <w:sz w:val="24"/>
              </w:rPr>
              <w:t>南宁市第一人民医院区级继续教育《移动互联网时代医院文化建设》项目</w:t>
            </w:r>
          </w:p>
          <w:p w14:paraId="298517EF">
            <w:pPr>
              <w:spacing w:line="400" w:lineRule="exact"/>
              <w:rPr>
                <w:rFonts w:ascii="仿宋_GB2312" w:eastAsia="仿宋_GB2312"/>
                <w:color w:val="000000"/>
                <w:sz w:val="24"/>
                <w:u w:val="single"/>
              </w:rPr>
            </w:pPr>
            <w:r>
              <w:rPr>
                <w:rFonts w:hint="eastAsia" w:ascii="仿宋_GB2312" w:eastAsia="仿宋_GB2312"/>
                <w:color w:val="000000"/>
                <w:sz w:val="24"/>
              </w:rPr>
              <w:t>项目编号：</w:t>
            </w:r>
          </w:p>
        </w:tc>
      </w:tr>
      <w:tr w14:paraId="68C1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noWrap/>
            <w:vAlign w:val="center"/>
          </w:tcPr>
          <w:p w14:paraId="0E187E26">
            <w:pPr>
              <w:spacing w:line="400" w:lineRule="exact"/>
              <w:jc w:val="center"/>
              <w:rPr>
                <w:rFonts w:ascii="仿宋_GB2312" w:eastAsia="仿宋_GB2312"/>
                <w:color w:val="000000"/>
                <w:sz w:val="24"/>
              </w:rPr>
            </w:pPr>
            <w:r>
              <w:rPr>
                <w:rFonts w:hint="eastAsia" w:ascii="仿宋_GB2312" w:eastAsia="仿宋_GB2312"/>
                <w:color w:val="000000"/>
                <w:sz w:val="24"/>
              </w:rPr>
              <w:t>2</w:t>
            </w:r>
          </w:p>
        </w:tc>
        <w:tc>
          <w:tcPr>
            <w:tcW w:w="8313" w:type="dxa"/>
            <w:noWrap/>
            <w:vAlign w:val="center"/>
          </w:tcPr>
          <w:p w14:paraId="43AC501B">
            <w:pPr>
              <w:spacing w:line="400" w:lineRule="exact"/>
              <w:rPr>
                <w:rFonts w:ascii="仿宋_GB2312" w:eastAsia="仿宋_GB2312"/>
                <w:color w:val="000000"/>
                <w:sz w:val="24"/>
              </w:rPr>
            </w:pPr>
            <w:r>
              <w:rPr>
                <w:rFonts w:hint="eastAsia" w:ascii="仿宋_GB2312" w:eastAsia="仿宋_GB2312"/>
                <w:color w:val="000000"/>
                <w:sz w:val="24"/>
              </w:rPr>
              <w:t>磋商供应商资格：</w:t>
            </w:r>
          </w:p>
          <w:p w14:paraId="0BA0C6DF">
            <w:pPr>
              <w:pStyle w:val="8"/>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1、</w:t>
            </w:r>
            <w:r>
              <w:rPr>
                <w:rFonts w:hint="eastAsia" w:ascii="仿宋" w:hAnsi="仿宋" w:eastAsia="仿宋" w:cs="仿宋"/>
                <w:color w:val="000000"/>
              </w:rPr>
              <w:t>凡符合《中华人民共和国政府采购法》第二十二条的要求，在中华人民共和国依照《中华人民共和国公司法》注册的具有独立法人资格，且具有相应经营资质单位均可报名参加</w:t>
            </w:r>
            <w:r>
              <w:rPr>
                <w:rFonts w:hint="eastAsia" w:ascii="仿宋_GB2312" w:hAnsi="宋体" w:eastAsia="仿宋_GB2312"/>
                <w:color w:val="000000"/>
              </w:rPr>
              <w:t>。</w:t>
            </w:r>
          </w:p>
          <w:p w14:paraId="483543EA">
            <w:pPr>
              <w:pStyle w:val="8"/>
              <w:widowControl/>
              <w:wordWrap w:val="0"/>
              <w:spacing w:line="400" w:lineRule="exact"/>
              <w:ind w:firstLine="480" w:firstLineChars="200"/>
              <w:jc w:val="left"/>
              <w:rPr>
                <w:rFonts w:ascii="仿宋_GB2312" w:hAnsi="宋体" w:eastAsia="仿宋_GB2312"/>
                <w:color w:val="000000"/>
              </w:rPr>
            </w:pPr>
            <w:r>
              <w:rPr>
                <w:rFonts w:hint="eastAsia" w:ascii="仿宋" w:hAnsi="仿宋" w:eastAsia="仿宋" w:cs="仿宋"/>
                <w:color w:val="000000"/>
              </w:rPr>
              <w:t>2、供应商须具有法定部门颁发的有效的营业执照、税务登记、组织机构代码证、法定代表人授权委托书等相关证件；提供（单位）资质证书及法人信息资料。</w:t>
            </w:r>
          </w:p>
          <w:p w14:paraId="0A338DCF">
            <w:pPr>
              <w:pStyle w:val="8"/>
              <w:spacing w:line="400" w:lineRule="exact"/>
              <w:ind w:firstLine="470" w:firstLineChars="196"/>
              <w:rPr>
                <w:rFonts w:ascii="仿宋_GB2312" w:hAnsi="宋体" w:eastAsia="仿宋_GB2312"/>
                <w:color w:val="FF0000"/>
              </w:rPr>
            </w:pPr>
            <w:r>
              <w:rPr>
                <w:rFonts w:hint="eastAsia" w:ascii="仿宋_GB2312" w:hAnsi="宋体" w:eastAsia="仿宋_GB2312"/>
                <w:color w:val="FF0000"/>
              </w:rPr>
              <w:t>3、供应商 2017 年 1 月 1 日至今有类似与党政机关、事业单位、或大中型企业发生过有关类似项目采购的业务合同或政府采购成交通知书。</w:t>
            </w:r>
          </w:p>
          <w:p w14:paraId="23B134A5">
            <w:pPr>
              <w:pStyle w:val="8"/>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4、供应商应符合《中华人民共和国政府采购法》第二十二条第一款规定的条件并按《政府采购法实施条例》第十七条第一款规定提供相关证明材料。</w:t>
            </w:r>
          </w:p>
          <w:p w14:paraId="5272D394">
            <w:pPr>
              <w:pStyle w:val="8"/>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5、单位负责人为同一人或者存在直接控股、管理关系的不同供应商，不得参加同一合同项下（同一包号）的政府采购活动，否则投标均无效。</w:t>
            </w:r>
          </w:p>
        </w:tc>
      </w:tr>
      <w:tr w14:paraId="184E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noWrap/>
            <w:vAlign w:val="center"/>
          </w:tcPr>
          <w:p w14:paraId="6C620C50">
            <w:pPr>
              <w:spacing w:line="400" w:lineRule="exact"/>
              <w:jc w:val="center"/>
              <w:rPr>
                <w:rFonts w:ascii="仿宋_GB2312" w:eastAsia="仿宋_GB2312"/>
                <w:color w:val="000000"/>
                <w:sz w:val="24"/>
              </w:rPr>
            </w:pPr>
            <w:r>
              <w:rPr>
                <w:rFonts w:hint="eastAsia" w:ascii="仿宋_GB2312" w:eastAsia="仿宋_GB2312"/>
                <w:color w:val="000000"/>
                <w:sz w:val="24"/>
              </w:rPr>
              <w:t>3</w:t>
            </w:r>
          </w:p>
        </w:tc>
        <w:tc>
          <w:tcPr>
            <w:tcW w:w="8313" w:type="dxa"/>
            <w:noWrap/>
            <w:vAlign w:val="center"/>
          </w:tcPr>
          <w:p w14:paraId="6101A432">
            <w:pPr>
              <w:pStyle w:val="4"/>
              <w:spacing w:line="420" w:lineRule="exact"/>
              <w:rPr>
                <w:rFonts w:ascii="仿宋_GB2312" w:eastAsia="仿宋_GB2312"/>
                <w:color w:val="000000"/>
                <w:sz w:val="24"/>
                <w:szCs w:val="24"/>
              </w:rPr>
            </w:pPr>
            <w:r>
              <w:rPr>
                <w:rFonts w:hint="eastAsia" w:ascii="仿宋_GB2312" w:hAnsi="宋体" w:eastAsia="仿宋_GB2312"/>
                <w:color w:val="000000"/>
                <w:sz w:val="24"/>
                <w:szCs w:val="24"/>
              </w:rPr>
              <w:t>竞标报价：磋商供应商须就</w:t>
            </w:r>
            <w:r>
              <w:rPr>
                <w:rFonts w:hint="eastAsia" w:ascii="仿宋_GB2312" w:hAnsi="宋体" w:eastAsia="仿宋_GB2312"/>
                <w:b/>
                <w:color w:val="000000"/>
                <w:sz w:val="24"/>
                <w:szCs w:val="24"/>
              </w:rPr>
              <w:t>采购项目的名称、数量、简要规格描述</w:t>
            </w:r>
            <w:r>
              <w:rPr>
                <w:rFonts w:hint="eastAsia" w:ascii="仿宋_GB2312" w:hAnsi="宋体" w:eastAsia="仿宋_GB2312"/>
                <w:color w:val="000000"/>
                <w:sz w:val="24"/>
                <w:szCs w:val="24"/>
              </w:rPr>
              <w:t>中的全部服务内容作完整唯一报价。</w:t>
            </w:r>
          </w:p>
        </w:tc>
      </w:tr>
      <w:tr w14:paraId="424F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noWrap/>
            <w:vAlign w:val="center"/>
          </w:tcPr>
          <w:p w14:paraId="2C45344A">
            <w:pPr>
              <w:spacing w:line="400" w:lineRule="exact"/>
              <w:jc w:val="center"/>
              <w:rPr>
                <w:rFonts w:ascii="仿宋_GB2312" w:eastAsia="仿宋_GB2312"/>
                <w:color w:val="000000"/>
                <w:sz w:val="24"/>
              </w:rPr>
            </w:pPr>
            <w:r>
              <w:rPr>
                <w:rFonts w:hint="eastAsia" w:ascii="仿宋_GB2312" w:eastAsia="仿宋_GB2312"/>
                <w:color w:val="000000"/>
                <w:sz w:val="24"/>
              </w:rPr>
              <w:t>4</w:t>
            </w:r>
          </w:p>
        </w:tc>
        <w:tc>
          <w:tcPr>
            <w:tcW w:w="8313" w:type="dxa"/>
            <w:noWrap/>
            <w:vAlign w:val="center"/>
          </w:tcPr>
          <w:p w14:paraId="76D9F3D3">
            <w:pPr>
              <w:spacing w:line="400" w:lineRule="exact"/>
              <w:rPr>
                <w:rFonts w:ascii="仿宋_GB2312" w:eastAsia="仿宋_GB2312"/>
                <w:color w:val="000000"/>
                <w:sz w:val="24"/>
              </w:rPr>
            </w:pPr>
            <w:r>
              <w:rPr>
                <w:rFonts w:hint="eastAsia" w:ascii="仿宋_GB2312" w:eastAsia="仿宋_GB2312"/>
                <w:color w:val="000000"/>
                <w:sz w:val="24"/>
              </w:rPr>
              <w:t>响应文件份数：正本一份， 副本三份</w:t>
            </w:r>
          </w:p>
        </w:tc>
      </w:tr>
      <w:tr w14:paraId="463D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726" w:type="dxa"/>
            <w:noWrap/>
            <w:vAlign w:val="center"/>
          </w:tcPr>
          <w:p w14:paraId="3F66560C">
            <w:pPr>
              <w:spacing w:line="400" w:lineRule="exact"/>
              <w:jc w:val="center"/>
              <w:rPr>
                <w:rFonts w:ascii="仿宋_GB2312" w:eastAsia="仿宋_GB2312"/>
                <w:color w:val="000000"/>
                <w:sz w:val="24"/>
              </w:rPr>
            </w:pPr>
            <w:r>
              <w:rPr>
                <w:rFonts w:hint="eastAsia" w:ascii="仿宋_GB2312" w:eastAsia="仿宋_GB2312"/>
                <w:color w:val="000000"/>
                <w:sz w:val="24"/>
              </w:rPr>
              <w:t>5</w:t>
            </w:r>
          </w:p>
        </w:tc>
        <w:tc>
          <w:tcPr>
            <w:tcW w:w="8313" w:type="dxa"/>
            <w:noWrap/>
            <w:vAlign w:val="center"/>
          </w:tcPr>
          <w:p w14:paraId="3AD5092A">
            <w:pPr>
              <w:pStyle w:val="4"/>
              <w:spacing w:line="400" w:lineRule="exact"/>
              <w:rPr>
                <w:rFonts w:ascii="仿宋_GB2312" w:eastAsia="仿宋_GB2312"/>
                <w:color w:val="000000"/>
                <w:sz w:val="24"/>
                <w:szCs w:val="24"/>
              </w:rPr>
            </w:pPr>
            <w:r>
              <w:rPr>
                <w:rFonts w:hint="eastAsia" w:ascii="仿宋_GB2312" w:eastAsia="仿宋_GB2312"/>
                <w:color w:val="000000"/>
                <w:sz w:val="24"/>
                <w:szCs w:val="24"/>
              </w:rPr>
              <w:t>响应文件递交截止时间：</w:t>
            </w:r>
            <w:r>
              <w:rPr>
                <w:rFonts w:hint="eastAsia" w:ascii="仿宋_GB2312" w:eastAsia="仿宋_GB2312"/>
                <w:color w:val="FF0000"/>
                <w:sz w:val="24"/>
                <w:szCs w:val="24"/>
                <w:u w:val="single"/>
              </w:rPr>
              <w:t>2019年</w:t>
            </w:r>
            <w:ins w:id="18" w:author="龙艺夫" w:date="2019-11-20T16:25:09Z">
              <w:r>
                <w:rPr>
                  <w:rFonts w:hint="eastAsia" w:ascii="仿宋_GB2312" w:eastAsia="仿宋_GB2312"/>
                  <w:color w:val="FF0000"/>
                  <w:sz w:val="24"/>
                  <w:szCs w:val="24"/>
                  <w:u w:val="single"/>
                  <w:lang w:val="en-US" w:eastAsia="zh-CN"/>
                </w:rPr>
                <w:t>11</w:t>
              </w:r>
            </w:ins>
            <w:r>
              <w:rPr>
                <w:rFonts w:hint="eastAsia" w:ascii="仿宋_GB2312" w:eastAsia="仿宋_GB2312"/>
                <w:color w:val="FF0000"/>
                <w:sz w:val="24"/>
                <w:szCs w:val="24"/>
                <w:u w:val="single"/>
              </w:rPr>
              <w:t>月</w:t>
            </w:r>
            <w:ins w:id="19" w:author="龙艺夫" w:date="2019-11-20T16:25:13Z">
              <w:r>
                <w:rPr>
                  <w:rFonts w:hint="eastAsia" w:ascii="仿宋_GB2312" w:eastAsia="仿宋_GB2312"/>
                  <w:color w:val="FF0000"/>
                  <w:sz w:val="24"/>
                  <w:szCs w:val="24"/>
                  <w:u w:val="single"/>
                  <w:lang w:val="en-US" w:eastAsia="zh-CN"/>
                </w:rPr>
                <w:t>29</w:t>
              </w:r>
            </w:ins>
            <w:r>
              <w:rPr>
                <w:rFonts w:hint="eastAsia" w:ascii="仿宋_GB2312" w:eastAsia="仿宋_GB2312"/>
                <w:color w:val="FF0000"/>
                <w:sz w:val="24"/>
                <w:szCs w:val="24"/>
                <w:u w:val="single"/>
              </w:rPr>
              <w:t>日</w:t>
            </w:r>
            <w:ins w:id="20" w:author="龙艺夫" w:date="2019-11-20T16:25:19Z">
              <w:r>
                <w:rPr>
                  <w:rFonts w:hint="eastAsia" w:ascii="仿宋_GB2312" w:eastAsia="仿宋_GB2312"/>
                  <w:color w:val="FF0000"/>
                  <w:sz w:val="24"/>
                  <w:szCs w:val="24"/>
                  <w:u w:val="single"/>
                  <w:lang w:val="en-US" w:eastAsia="zh-CN"/>
                </w:rPr>
                <w:t>17</w:t>
              </w:r>
            </w:ins>
            <w:r>
              <w:rPr>
                <w:rFonts w:hint="eastAsia" w:ascii="仿宋_GB2312" w:eastAsia="仿宋_GB2312"/>
                <w:color w:val="FF0000"/>
                <w:sz w:val="24"/>
                <w:szCs w:val="24"/>
                <w:u w:val="single"/>
              </w:rPr>
              <w:t>时止</w:t>
            </w:r>
            <w:r>
              <w:rPr>
                <w:rFonts w:hint="eastAsia" w:ascii="仿宋_GB2312" w:eastAsia="仿宋_GB2312"/>
                <w:color w:val="000000"/>
                <w:sz w:val="24"/>
                <w:szCs w:val="24"/>
              </w:rPr>
              <w:t>（此为竞标截止日期）</w:t>
            </w:r>
          </w:p>
          <w:p w14:paraId="54901644">
            <w:pPr>
              <w:pStyle w:val="4"/>
              <w:spacing w:line="400" w:lineRule="exact"/>
              <w:rPr>
                <w:rFonts w:ascii="仿宋_GB2312" w:eastAsia="仿宋_GB2312"/>
                <w:color w:val="000000"/>
                <w:sz w:val="24"/>
                <w:szCs w:val="24"/>
              </w:rPr>
            </w:pPr>
            <w:r>
              <w:rPr>
                <w:rFonts w:hint="eastAsia" w:ascii="仿宋_GB2312" w:eastAsia="仿宋_GB2312"/>
                <w:color w:val="000000"/>
                <w:sz w:val="24"/>
                <w:szCs w:val="24"/>
              </w:rPr>
              <w:t>地址：</w:t>
            </w:r>
            <w:r>
              <w:rPr>
                <w:rFonts w:hint="eastAsia" w:ascii="仿宋_GB2312" w:eastAsia="仿宋_GB2312"/>
                <w:color w:val="FF0000"/>
                <w:sz w:val="24"/>
                <w:szCs w:val="24"/>
                <w:u w:val="single"/>
              </w:rPr>
              <w:t>南宁市第一人民医院9号楼203室</w:t>
            </w:r>
          </w:p>
        </w:tc>
      </w:tr>
      <w:tr w14:paraId="0147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26" w:type="dxa"/>
            <w:noWrap/>
            <w:vAlign w:val="center"/>
          </w:tcPr>
          <w:p w14:paraId="0E2EA29F">
            <w:pPr>
              <w:spacing w:line="400" w:lineRule="exact"/>
              <w:jc w:val="center"/>
              <w:rPr>
                <w:rFonts w:ascii="仿宋_GB2312" w:eastAsia="仿宋_GB2312"/>
                <w:color w:val="000000"/>
                <w:sz w:val="24"/>
              </w:rPr>
            </w:pPr>
            <w:r>
              <w:rPr>
                <w:rFonts w:hint="eastAsia" w:ascii="仿宋_GB2312" w:eastAsia="仿宋_GB2312"/>
                <w:color w:val="000000"/>
                <w:sz w:val="24"/>
              </w:rPr>
              <w:t>6</w:t>
            </w:r>
          </w:p>
        </w:tc>
        <w:tc>
          <w:tcPr>
            <w:tcW w:w="8313" w:type="dxa"/>
            <w:noWrap/>
            <w:vAlign w:val="center"/>
          </w:tcPr>
          <w:p w14:paraId="057C0B5C">
            <w:pPr>
              <w:spacing w:line="400" w:lineRule="exact"/>
              <w:rPr>
                <w:rFonts w:ascii="仿宋_GB2312" w:hAnsi="Courier New" w:eastAsia="仿宋_GB2312"/>
                <w:color w:val="000000"/>
                <w:sz w:val="24"/>
              </w:rPr>
            </w:pPr>
            <w:r>
              <w:rPr>
                <w:rFonts w:hint="eastAsia" w:ascii="仿宋_GB2312" w:hAnsi="Courier New" w:eastAsia="仿宋_GB2312"/>
                <w:color w:val="000000"/>
                <w:sz w:val="24"/>
              </w:rPr>
              <w:t>磋商时间：</w:t>
            </w:r>
            <w:r>
              <w:rPr>
                <w:rFonts w:hint="eastAsia" w:ascii="仿宋_GB2312" w:hAnsi="Courier New" w:eastAsia="仿宋_GB2312"/>
                <w:color w:val="FF0000"/>
                <w:sz w:val="24"/>
                <w:u w:val="single"/>
              </w:rPr>
              <w:t>2019年</w:t>
            </w:r>
            <w:ins w:id="21" w:author="龙艺夫" w:date="2019-11-20T16:26:13Z">
              <w:r>
                <w:rPr>
                  <w:rFonts w:hint="eastAsia" w:ascii="仿宋_GB2312" w:hAnsi="Courier New" w:eastAsia="仿宋_GB2312"/>
                  <w:color w:val="FF0000"/>
                  <w:sz w:val="24"/>
                  <w:u w:val="single"/>
                  <w:lang w:val="en-US" w:eastAsia="zh-CN"/>
                </w:rPr>
                <w:t>12</w:t>
              </w:r>
            </w:ins>
            <w:r>
              <w:rPr>
                <w:rFonts w:hint="eastAsia" w:ascii="仿宋_GB2312" w:hAnsi="Courier New" w:eastAsia="仿宋_GB2312"/>
                <w:color w:val="FF0000"/>
                <w:sz w:val="24"/>
                <w:u w:val="single"/>
              </w:rPr>
              <w:t>月</w:t>
            </w:r>
            <w:ins w:id="22" w:author="龙艺夫" w:date="2019-11-20T16:26:15Z">
              <w:r>
                <w:rPr>
                  <w:rFonts w:hint="eastAsia" w:ascii="仿宋_GB2312" w:hAnsi="Courier New" w:eastAsia="仿宋_GB2312"/>
                  <w:color w:val="FF0000"/>
                  <w:sz w:val="24"/>
                  <w:u w:val="single"/>
                  <w:lang w:val="en-US" w:eastAsia="zh-CN"/>
                </w:rPr>
                <w:t>2</w:t>
              </w:r>
            </w:ins>
            <w:r>
              <w:rPr>
                <w:rFonts w:hint="eastAsia" w:ascii="仿宋_GB2312" w:hAnsi="Courier New" w:eastAsia="仿宋_GB2312"/>
                <w:color w:val="FF0000"/>
                <w:sz w:val="24"/>
                <w:u w:val="single"/>
              </w:rPr>
              <w:t>日</w:t>
            </w:r>
            <w:ins w:id="23" w:author="龙艺夫" w:date="2019-11-20T16:26:17Z">
              <w:r>
                <w:rPr>
                  <w:rFonts w:hint="eastAsia" w:ascii="仿宋_GB2312" w:hAnsi="Courier New" w:eastAsia="仿宋_GB2312"/>
                  <w:color w:val="FF0000"/>
                  <w:sz w:val="24"/>
                  <w:u w:val="single"/>
                  <w:lang w:val="en-US" w:eastAsia="zh-CN"/>
                </w:rPr>
                <w:t>1</w:t>
              </w:r>
            </w:ins>
            <w:ins w:id="24" w:author="龙艺夫" w:date="2019-11-20T16:26:18Z">
              <w:r>
                <w:rPr>
                  <w:rFonts w:hint="eastAsia" w:ascii="仿宋_GB2312" w:hAnsi="Courier New" w:eastAsia="仿宋_GB2312"/>
                  <w:color w:val="FF0000"/>
                  <w:sz w:val="24"/>
                  <w:u w:val="single"/>
                  <w:lang w:val="en-US" w:eastAsia="zh-CN"/>
                </w:rPr>
                <w:t>6</w:t>
              </w:r>
            </w:ins>
            <w:r>
              <w:rPr>
                <w:rFonts w:hint="eastAsia" w:ascii="仿宋_GB2312" w:eastAsia="仿宋_GB2312"/>
                <w:color w:val="FF0000"/>
                <w:sz w:val="24"/>
                <w:u w:val="single"/>
              </w:rPr>
              <w:t>时</w:t>
            </w:r>
            <w:r>
              <w:rPr>
                <w:rFonts w:hint="eastAsia" w:ascii="仿宋_GB2312" w:hAnsi="Courier New" w:eastAsia="仿宋_GB2312"/>
                <w:color w:val="000000"/>
                <w:sz w:val="24"/>
              </w:rPr>
              <w:t>（若有变动，另行通知）</w:t>
            </w:r>
          </w:p>
          <w:p w14:paraId="0C143ECA">
            <w:pPr>
              <w:spacing w:line="400" w:lineRule="exact"/>
              <w:rPr>
                <w:rFonts w:ascii="仿宋_GB2312" w:hAnsi="Courier New" w:eastAsia="仿宋_GB2312"/>
                <w:color w:val="000000"/>
                <w:sz w:val="24"/>
              </w:rPr>
            </w:pPr>
            <w:r>
              <w:rPr>
                <w:rFonts w:hint="eastAsia" w:ascii="仿宋_GB2312" w:hAnsi="Courier New" w:eastAsia="仿宋_GB2312"/>
                <w:color w:val="000000"/>
                <w:sz w:val="24"/>
              </w:rPr>
              <w:t>磋商地点：</w:t>
            </w:r>
            <w:r>
              <w:rPr>
                <w:rFonts w:hint="eastAsia" w:ascii="仿宋_GB2312" w:hAnsi="Courier New" w:eastAsia="仿宋_GB2312"/>
                <w:color w:val="FF0000"/>
                <w:sz w:val="24"/>
                <w:u w:val="single"/>
              </w:rPr>
              <w:t>地点：南宁市第一人民医院10号楼3楼职工活动室</w:t>
            </w:r>
            <w:r>
              <w:rPr>
                <w:rFonts w:hint="eastAsia" w:ascii="仿宋_GB2312" w:hAnsi="Courier New" w:eastAsia="仿宋_GB2312"/>
                <w:color w:val="000000"/>
                <w:sz w:val="24"/>
              </w:rPr>
              <w:t>（若有变动，另行通知）</w:t>
            </w:r>
          </w:p>
          <w:p w14:paraId="7A06E48B">
            <w:pPr>
              <w:spacing w:line="400" w:lineRule="exact"/>
              <w:rPr>
                <w:rFonts w:ascii="仿宋_GB2312" w:hAnsi="Courier New" w:eastAsia="仿宋_GB2312"/>
                <w:color w:val="000000"/>
                <w:sz w:val="24"/>
              </w:rPr>
            </w:pPr>
          </w:p>
        </w:tc>
      </w:tr>
    </w:tbl>
    <w:p w14:paraId="0ECDAA3C">
      <w:pPr>
        <w:pStyle w:val="3"/>
        <w:spacing w:line="400" w:lineRule="exact"/>
        <w:ind w:firstLine="454" w:firstLineChars="196"/>
        <w:rPr>
          <w:rFonts w:ascii="仿宋_GB2312" w:hAnsi="宋体" w:eastAsia="仿宋_GB2312"/>
          <w:color w:val="000000"/>
          <w:sz w:val="24"/>
        </w:rPr>
      </w:pPr>
    </w:p>
    <w:p w14:paraId="6A147679">
      <w:pPr>
        <w:rPr>
          <w:color w:val="000000"/>
        </w:rPr>
      </w:pPr>
    </w:p>
    <w:p w14:paraId="6F82F0CF">
      <w:pPr>
        <w:rPr>
          <w:color w:val="000000"/>
        </w:rPr>
      </w:pPr>
    </w:p>
    <w:p w14:paraId="135DB187">
      <w:pPr>
        <w:rPr>
          <w:color w:val="000000"/>
        </w:rPr>
      </w:pPr>
    </w:p>
    <w:p w14:paraId="17CD7C0E">
      <w:pPr>
        <w:rPr>
          <w:color w:val="000000"/>
        </w:rPr>
      </w:pPr>
    </w:p>
    <w:p w14:paraId="5F2F815B">
      <w:pPr>
        <w:spacing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磋商须知</w:t>
      </w:r>
    </w:p>
    <w:p w14:paraId="6C1EF444">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一、总　则</w:t>
      </w:r>
    </w:p>
    <w:p w14:paraId="6956282F">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 适用范围</w:t>
      </w:r>
    </w:p>
    <w:p w14:paraId="2FF3411F">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1.1 本文件仅适用于本文件中所叙述的货物、服务类政府采购项目。</w:t>
      </w:r>
    </w:p>
    <w:p w14:paraId="27E35B42">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 定义</w:t>
      </w:r>
    </w:p>
    <w:p w14:paraId="2DA8DE37">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2.1“采购人”是指：南宁市第一人民医院。</w:t>
      </w:r>
    </w:p>
    <w:p w14:paraId="0EC1071B">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2.2“磋商供应商”是指响应本文件要求，参加磋商的法人或者其他组织，即“磋商供应商”。如果该供应商在本次磋商中成交，即成为“成交供应商”。</w:t>
      </w:r>
    </w:p>
    <w:p w14:paraId="61098E4B">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2.3“服务”是指除货物和工程以外的其他政府采购对象。</w:t>
      </w:r>
    </w:p>
    <w:p w14:paraId="69E5FD85">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2.4“竞争性磋商响应文件”是指：供应商根据本文件要求，编制包含报价、商品名、规格和服务等所有内容的文件，即“响应文件”。</w:t>
      </w:r>
    </w:p>
    <w:p w14:paraId="17B67054">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3. 磋商供应商的基本条件</w:t>
      </w:r>
    </w:p>
    <w:p w14:paraId="7C246E62">
      <w:pPr>
        <w:spacing w:line="400" w:lineRule="exact"/>
        <w:ind w:firstLine="480" w:firstLineChars="200"/>
        <w:rPr>
          <w:rFonts w:ascii="仿宋_GB2312" w:hAnsi="宋体" w:eastAsia="仿宋_GB2312"/>
          <w:color w:val="000000"/>
          <w:sz w:val="24"/>
          <w:u w:val="single"/>
        </w:rPr>
      </w:pPr>
      <w:r>
        <w:rPr>
          <w:rFonts w:hint="eastAsia" w:ascii="仿宋_GB2312" w:hAnsi="宋体" w:eastAsia="仿宋_GB2312"/>
          <w:color w:val="000000"/>
          <w:sz w:val="24"/>
        </w:rPr>
        <w:t>3.1国内注册（指按国家有关规定要求注册的）经营本次采购服务，具备法人资格的供应商</w:t>
      </w:r>
      <w:r>
        <w:rPr>
          <w:rFonts w:hint="eastAsia" w:ascii="仿宋_GB2312" w:hAnsi="宋体" w:eastAsia="仿宋_GB2312" w:cs="Arial"/>
          <w:color w:val="000000"/>
          <w:sz w:val="24"/>
        </w:rPr>
        <w:t>。</w:t>
      </w:r>
    </w:p>
    <w:p w14:paraId="5924B5B8">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4. 磋商费用</w:t>
      </w:r>
    </w:p>
    <w:p w14:paraId="4D0E1C68">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4.1 磋商供应商应自行承担所有与编写和提交竞争性磋商响应文件有关的费用，不论磋商结果如何，采购人在任何情况下无义务和责任承担此类费用。</w:t>
      </w:r>
    </w:p>
    <w:p w14:paraId="64B19FFD">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二、竞争性磋商响应文件的编制</w:t>
      </w:r>
    </w:p>
    <w:p w14:paraId="7EF8FCF5">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 竞争性磋商响应文件编制基本要求</w:t>
      </w:r>
    </w:p>
    <w:p w14:paraId="7CAAE8B5">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5.1磋商供应商对竞争性磋商响应文件的编制应按要求装订和封装。</w:t>
      </w:r>
    </w:p>
    <w:p w14:paraId="4E10ACD3">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5.2磋商供应商提交的竞争性磋商响应文件以及磋商供应商与采购人就有关磋商的所有来往函电均应使用中文。磋商供应商提交的支持文件和印刷的文献可以使用别的语言，但其相应内容必须附有中文翻译文本，在解释竞争性磋商响应文件时以翻译文本为主。</w:t>
      </w:r>
    </w:p>
    <w:p w14:paraId="23F43F7B">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5.3磋商供应商应认真阅读、并充分理解本文件的全部内容（包括所有的补充、修改内容），承诺并履行本文件中各项条款规定及要求。</w:t>
      </w:r>
    </w:p>
    <w:p w14:paraId="2A596B02">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5.4竞争性磋商响应文件必须按本文件的全部内容，包括所有的补充通知及附件进行编制。</w:t>
      </w:r>
    </w:p>
    <w:p w14:paraId="40523A30">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5.5如因磋商供应商只填写和提供了本文件要求的部分内容和附件，而给评审造成困难，其可能导致的结果和责任由磋商供应商自行承担。</w:t>
      </w:r>
    </w:p>
    <w:p w14:paraId="3855A186">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5.6竞争性磋商响应文件的组成：竞争性磋商响应文件包括价格文件和商务技术文件。</w:t>
      </w:r>
    </w:p>
    <w:p w14:paraId="6954BE1C">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1）磋商书（必须提供）；</w:t>
      </w:r>
    </w:p>
    <w:p w14:paraId="1E8DA0D0">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2）磋商报价表（必须提供）；</w:t>
      </w:r>
    </w:p>
    <w:p w14:paraId="2D983A8C">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3）有效的营业执照副本复印件（必须提供）；</w:t>
      </w:r>
    </w:p>
    <w:p w14:paraId="5D21434E">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4）有效的组织机构代码证复印件（必须提供，如已办理三证合一的则不用提供）；</w:t>
      </w:r>
    </w:p>
    <w:p w14:paraId="4F9183E1">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5）法定代表人有效的身份证复印件（必须提供）；</w:t>
      </w:r>
    </w:p>
    <w:p w14:paraId="62B244A6">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6）法定代表人授权书原件和被授权人身份证复印件（委托代理时必须提供）；</w:t>
      </w:r>
    </w:p>
    <w:p w14:paraId="4A134E96">
      <w:pPr>
        <w:spacing w:line="400" w:lineRule="exact"/>
        <w:ind w:firstLine="482" w:firstLineChars="200"/>
        <w:rPr>
          <w:rFonts w:ascii="仿宋_GB2312" w:hAnsi="宋体" w:eastAsia="仿宋_GB2312"/>
          <w:sz w:val="24"/>
        </w:rPr>
      </w:pPr>
      <w:r>
        <w:rPr>
          <w:rFonts w:hint="eastAsia" w:ascii="仿宋_GB2312" w:hAnsi="宋体" w:eastAsia="仿宋_GB2312"/>
          <w:b/>
          <w:bCs/>
          <w:color w:val="000000"/>
          <w:sz w:val="24"/>
        </w:rPr>
        <w:t>7）</w:t>
      </w:r>
      <w:r>
        <w:rPr>
          <w:rFonts w:hint="eastAsia" w:ascii="仿宋_GB2312" w:hAnsi="宋体" w:eastAsia="仿宋_GB2312"/>
          <w:b/>
          <w:bCs/>
          <w:sz w:val="24"/>
        </w:rPr>
        <w:t>在经营活动中没有重大违法记录，没有不良信用记录。供应商可在“信用中国”网站（www.creditchina.gov.cn）、中国政府采购网（www.ccgp.gov.cn）查询相关供应商主体信用记录，同时须将查询结果截图在竞标文件中提交。（必须提供）</w:t>
      </w:r>
    </w:p>
    <w:p w14:paraId="341E5805">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8）其他有效证明文件的复印件。</w:t>
      </w:r>
    </w:p>
    <w:p w14:paraId="4322037F">
      <w:pPr>
        <w:spacing w:line="400" w:lineRule="exact"/>
        <w:ind w:firstLine="482" w:firstLineChars="200"/>
        <w:rPr>
          <w:rFonts w:ascii="仿宋_GB2312" w:hAnsi="宋体" w:eastAsia="仿宋_GB2312"/>
          <w:b/>
          <w:bCs/>
          <w:color w:val="000000"/>
          <w:sz w:val="24"/>
        </w:rPr>
      </w:pPr>
      <w:r>
        <w:rPr>
          <w:rFonts w:hint="eastAsia" w:ascii="仿宋_GB2312" w:hAnsi="宋体" w:eastAsia="仿宋_GB2312"/>
          <w:b/>
          <w:bCs/>
          <w:color w:val="000000"/>
          <w:sz w:val="24"/>
        </w:rPr>
        <w:t>9）磋商供应商的售后服务承诺书（必须提供，格式自拟）。</w:t>
      </w:r>
    </w:p>
    <w:p w14:paraId="2F0F31C6">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10）磋商供应商认为需要提供的其他有关资料。</w:t>
      </w:r>
    </w:p>
    <w:p w14:paraId="4220DFE7">
      <w:pPr>
        <w:tabs>
          <w:tab w:val="left" w:pos="1305"/>
        </w:tabs>
        <w:spacing w:line="39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以上有关材料应真实有效，并加盖磋商供应商公章（扫描公章无效）。属于“必须提供”的文件必须于本项目截标前与响应文件同时提交，否则，竞标无效。其余由磋商供应商视自身情况自行提交。</w:t>
      </w:r>
    </w:p>
    <w:p w14:paraId="0BDF7C3D">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6. 计量单位</w:t>
      </w:r>
    </w:p>
    <w:p w14:paraId="30A4360F">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6.1除技术要求中另有规定外，本文件所要求使用的计量单位均应采用国家法定计量单位。</w:t>
      </w:r>
    </w:p>
    <w:p w14:paraId="1EFAF865">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三、磋商报价要求</w:t>
      </w:r>
    </w:p>
    <w:p w14:paraId="66558A16">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7.1对于本文件中未列明，而磋商供应商认为必需的费用也需列入总报价。在合同实施时，采购人将不予支付成交供应商没有列入的项目费用，并认为此项目的费用已包括在总报价中。</w:t>
      </w:r>
    </w:p>
    <w:p w14:paraId="752F680C">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7.2成交供应商负责本项目所需服务等全部工作。</w:t>
      </w:r>
    </w:p>
    <w:p w14:paraId="08A3AF88">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7.3磋商供应商应在竞标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磋商供应商原因引起的报价失误，并在磋商时被接受，其后果由磋商供应商自负。</w:t>
      </w:r>
    </w:p>
    <w:p w14:paraId="1928CF5A">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7.4磋商供应商</w:t>
      </w:r>
      <w:r>
        <w:rPr>
          <w:rFonts w:hint="eastAsia" w:ascii="仿宋_GB2312" w:hAnsi="宋体" w:eastAsia="仿宋_GB2312"/>
          <w:bCs/>
          <w:color w:val="000000"/>
          <w:sz w:val="24"/>
        </w:rPr>
        <w:t>须</w:t>
      </w:r>
      <w:r>
        <w:rPr>
          <w:rFonts w:hint="eastAsia" w:ascii="仿宋_GB2312" w:hAnsi="宋体" w:eastAsia="仿宋_GB2312"/>
          <w:color w:val="000000"/>
          <w:sz w:val="24"/>
        </w:rPr>
        <w:t>就《采购项目技术规范及要求》中货物和服务内容作完整唯一报价。</w:t>
      </w:r>
    </w:p>
    <w:p w14:paraId="6BA2F4C9">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四、竞争性磋商响应文件的份数、封装和递交</w:t>
      </w:r>
    </w:p>
    <w:p w14:paraId="2AAF2DE9">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 磋商响应文件的份数和封装</w:t>
      </w:r>
    </w:p>
    <w:p w14:paraId="2A559191">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8.1磋商供应商应将竞争性磋商响应文件正本一份、副本三份密封在信封（或包装袋或包装箱）中。</w:t>
      </w:r>
    </w:p>
    <w:p w14:paraId="462D7EDA">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8.2竞争性磋商响应文件的信封（或包装袋或包装箱）封面上应写明：</w:t>
      </w:r>
    </w:p>
    <w:p w14:paraId="799B27D7">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1）竞争性磋商项目编号；</w:t>
      </w:r>
    </w:p>
    <w:p w14:paraId="31BE614E">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2）竞争性磋商项目名称；</w:t>
      </w:r>
    </w:p>
    <w:p w14:paraId="18D94F04">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3）磋商供应商名称。</w:t>
      </w:r>
    </w:p>
    <w:p w14:paraId="029C54AB">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9. 竞争性磋商响应文件的递交</w:t>
      </w:r>
    </w:p>
    <w:p w14:paraId="0930AA51">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9.1所有竞争性磋商竞争性响应文件应于“第一章 磋商供应商须知前附表”中规定的时间前递交到规定地点。</w:t>
      </w:r>
    </w:p>
    <w:p w14:paraId="07EA4E77">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10.迟交的竞争性磋商响应文件</w:t>
      </w:r>
    </w:p>
    <w:p w14:paraId="0C21BD9D">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南宁市第一人民医院将拒绝或原封退回在其规定的递交竞争性磋商响应文件截止时间之后收到的任何竞争性磋商响应文件。</w:t>
      </w:r>
    </w:p>
    <w:p w14:paraId="0F32724F">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五、磋商的步骤</w:t>
      </w:r>
    </w:p>
    <w:p w14:paraId="22966903">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11.1</w:t>
      </w:r>
      <w:r>
        <w:rPr>
          <w:rFonts w:hint="eastAsia" w:ascii="仿宋_GB2312" w:hAnsi="宋体" w:eastAsia="仿宋_GB2312"/>
          <w:b/>
          <w:bCs/>
          <w:color w:val="000000"/>
          <w:sz w:val="24"/>
        </w:rPr>
        <w:t>实质审查</w:t>
      </w:r>
    </w:p>
    <w:p w14:paraId="3BC693D1">
      <w:pPr>
        <w:snapToGrid w:val="0"/>
        <w:spacing w:line="4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（1）磋商小组审查磋商响应文件的实质性内容是否符合磋商采购文件的实质性要求。</w:t>
      </w:r>
    </w:p>
    <w:p w14:paraId="4428E187">
      <w:pPr>
        <w:snapToGrid w:val="0"/>
        <w:spacing w:line="4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仿宋_GB2312" w:hAnsi="宋体" w:eastAsia="仿宋_GB2312"/>
          <w:color w:val="000000"/>
          <w:sz w:val="24"/>
        </w:rPr>
        <w:br w:type="textWrapping"/>
      </w:r>
      <w:r>
        <w:rPr>
          <w:rFonts w:hint="eastAsia" w:ascii="仿宋_GB2312" w:hAnsi="宋体" w:eastAsia="仿宋_GB2312"/>
          <w:color w:val="000000"/>
          <w:sz w:val="24"/>
        </w:rPr>
        <w:t>　　磋商小组要求供应商澄清、说明或者更正响应文件以书面形式作出。供应商的澄清、说明或者更正应当由法定代表人或其授权代表签字或者加盖公章。</w:t>
      </w:r>
    </w:p>
    <w:p w14:paraId="5F05CC08">
      <w:pPr>
        <w:snapToGrid w:val="0"/>
        <w:spacing w:line="4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未实质性响应磋商文件的磋商响应文件按无效处理。</w:t>
      </w:r>
    </w:p>
    <w:p w14:paraId="5E5D33E5">
      <w:pPr>
        <w:widowControl/>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11.2磋商文件修正</w:t>
      </w:r>
    </w:p>
    <w:p w14:paraId="6E346D91">
      <w:pPr>
        <w:widowControl/>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（1）磋商小组根据与供应商磋商情况可能实质性变动的内容包括采购需求中的技术、服务要求。实质性变动的内容，须经采购人代表确认。</w:t>
      </w:r>
    </w:p>
    <w:p w14:paraId="63EE0274">
      <w:pPr>
        <w:widowControl/>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（2）对磋商文件作出的实质性变动是磋商文件的有效组成部分，磋商小组应当及时以书面形式同时通知所有参加磋商的供应商。</w:t>
      </w:r>
      <w:r>
        <w:rPr>
          <w:rFonts w:hint="eastAsia" w:ascii="仿宋_GB2312" w:hAnsi="宋体" w:eastAsia="仿宋_GB2312"/>
          <w:color w:val="000000"/>
          <w:sz w:val="24"/>
        </w:rPr>
        <w:br w:type="textWrapping"/>
      </w:r>
      <w:r>
        <w:rPr>
          <w:rFonts w:hint="eastAsia" w:ascii="仿宋_GB2312" w:hAnsi="宋体" w:eastAsia="仿宋_GB2312"/>
          <w:color w:val="000000"/>
          <w:sz w:val="24"/>
        </w:rPr>
        <w:t>　　供应商应当按照磋商文件的变动情况和磋商小组的要求重新提交响应文件，并由其法定代表人或授权代表签字或者加盖公章。由授权代表签字的，应当附法定代表人授权书。逾时不交的，视同放弃磋商。修正文件与响应文件同具法律效力。</w:t>
      </w:r>
    </w:p>
    <w:p w14:paraId="5C527D85">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11.3最后报价</w:t>
      </w:r>
    </w:p>
    <w:p w14:paraId="6AE3246B">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磋商小组只要求商务评审和技术（服务）评审合格的磋商供应商在规定的时间内进行最后报价，密封递交磋商小组。磋商小组推荐成交候选人顺序，形成评审报告。</w:t>
      </w:r>
    </w:p>
    <w:p w14:paraId="6D0A8607">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 xml:space="preserve">11.4响应供应商的最后报价均超过了采购预算，采购人不能支付的，磋商活动终止。 </w:t>
      </w:r>
    </w:p>
    <w:p w14:paraId="12360F75">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六、确定成交供应商办法</w:t>
      </w:r>
    </w:p>
    <w:p w14:paraId="43F2AA5C">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12.1磋商小组将根据得分由高到低排列次序（得分相同时，以竞标报价由低到高顺序排列；得分相同且竞标报价相同的，按技术分高低顺序排列）并推荐三名成交候选供应商（见第二章评标方法）。</w:t>
      </w:r>
    </w:p>
    <w:p w14:paraId="422D774E">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12.2采购人在收到评审报告后3日内，从评审报告提出的成交候选供应商中，采购人应当确定磋商小组推荐排名第一的成交候选供应商为成交供应商。排名第一的成交候选供应商放弃成交、因不可抗力提出不能履行合同，或者采购文件规定应当提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w:t>
      </w:r>
    </w:p>
    <w:p w14:paraId="557C808E">
      <w:pPr>
        <w:spacing w:line="400" w:lineRule="exact"/>
        <w:ind w:left="420" w:leftChars="200" w:firstLine="120" w:firstLineChars="50"/>
        <w:rPr>
          <w:rFonts w:ascii="仿宋_GB2312" w:hAnsi="宋体" w:eastAsia="仿宋_GB2312"/>
          <w:b/>
          <w:color w:val="000000"/>
          <w:sz w:val="24"/>
        </w:rPr>
      </w:pPr>
      <w:r>
        <w:rPr>
          <w:rFonts w:hint="eastAsia" w:ascii="仿宋_GB2312" w:hAnsi="宋体" w:eastAsia="仿宋_GB2312"/>
          <w:b/>
          <w:color w:val="000000"/>
          <w:sz w:val="24"/>
        </w:rPr>
        <w:t>七、签订合同</w:t>
      </w:r>
    </w:p>
    <w:p w14:paraId="70A6D90F">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13.成交供应商在收到成交通知书后，按规定与采购人签订供货服务合同。</w:t>
      </w:r>
    </w:p>
    <w:p w14:paraId="54D78AB6">
      <w:pPr>
        <w:spacing w:line="400" w:lineRule="exact"/>
        <w:ind w:left="420" w:leftChars="200" w:firstLine="120" w:firstLineChars="50"/>
        <w:rPr>
          <w:rFonts w:ascii="仿宋_GB2312" w:hAnsi="宋体" w:eastAsia="仿宋_GB2312"/>
          <w:b/>
          <w:color w:val="000000"/>
          <w:sz w:val="24"/>
        </w:rPr>
      </w:pPr>
      <w:r>
        <w:rPr>
          <w:rFonts w:hint="eastAsia" w:ascii="仿宋_GB2312" w:hAnsi="宋体" w:eastAsia="仿宋_GB2312"/>
          <w:b/>
          <w:color w:val="000000"/>
          <w:sz w:val="24"/>
        </w:rPr>
        <w:t>八、适用法律</w:t>
      </w:r>
    </w:p>
    <w:p w14:paraId="5D42CC7E">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14.本谈判采购文件是根据国家有关法律及有关政策、法规和参照国际惯例编制。最终磋商结束后，磋商小组不得再与磋商供应商进行任何形式的商谈。</w:t>
      </w:r>
    </w:p>
    <w:p w14:paraId="7AE056E0">
      <w:pPr>
        <w:widowControl/>
        <w:tabs>
          <w:tab w:val="left" w:pos="540"/>
        </w:tabs>
        <w:spacing w:line="400" w:lineRule="exact"/>
        <w:ind w:firstLine="480" w:firstLineChars="200"/>
        <w:jc w:val="left"/>
        <w:rPr>
          <w:rFonts w:ascii="仿宋_GB2312" w:hAnsi="宋体" w:eastAsia="仿宋_GB2312"/>
          <w:color w:val="000000"/>
          <w:sz w:val="24"/>
        </w:rPr>
      </w:pPr>
    </w:p>
    <w:p w14:paraId="072C20D0">
      <w:pPr>
        <w:widowControl/>
        <w:tabs>
          <w:tab w:val="left" w:pos="540"/>
        </w:tabs>
        <w:spacing w:line="400" w:lineRule="exact"/>
        <w:ind w:firstLine="480" w:firstLineChars="200"/>
        <w:jc w:val="left"/>
        <w:rPr>
          <w:rFonts w:ascii="仿宋_GB2312" w:hAnsi="宋体" w:eastAsia="仿宋_GB2312"/>
          <w:color w:val="000000"/>
          <w:sz w:val="24"/>
        </w:rPr>
      </w:pPr>
    </w:p>
    <w:p w14:paraId="0CBF9656">
      <w:pPr>
        <w:spacing w:line="500" w:lineRule="exact"/>
        <w:jc w:val="center"/>
        <w:outlineLvl w:val="0"/>
        <w:rPr>
          <w:rFonts w:ascii="仿宋_GB2312" w:hAnsi="宋体" w:eastAsia="仿宋_GB2312"/>
          <w:b/>
          <w:color w:val="000000"/>
          <w:sz w:val="32"/>
          <w:szCs w:val="32"/>
        </w:rPr>
      </w:pPr>
      <w:bookmarkStart w:id="9" w:name="_Toc464692182"/>
      <w:r>
        <w:rPr>
          <w:rFonts w:hint="eastAsia" w:ascii="仿宋_GB2312" w:hAnsi="宋体" w:eastAsia="仿宋_GB2312"/>
          <w:b/>
          <w:color w:val="000000"/>
          <w:sz w:val="32"/>
          <w:szCs w:val="32"/>
        </w:rPr>
        <w:t>第二章 评标方法</w:t>
      </w:r>
      <w:bookmarkEnd w:id="9"/>
    </w:p>
    <w:p w14:paraId="190E1313">
      <w:pPr>
        <w:pStyle w:val="4"/>
        <w:spacing w:line="520" w:lineRule="exact"/>
        <w:ind w:firstLine="48" w:firstLineChars="20"/>
        <w:rPr>
          <w:rFonts w:ascii="仿宋_GB2312" w:hAnsi="宋体" w:eastAsia="仿宋_GB2312"/>
          <w:b/>
          <w:color w:val="000000"/>
          <w:sz w:val="24"/>
          <w:szCs w:val="24"/>
        </w:rPr>
      </w:pPr>
      <w:r>
        <w:rPr>
          <w:rFonts w:hint="eastAsia" w:ascii="仿宋_GB2312" w:hAnsi="宋体" w:eastAsia="仿宋_GB2312"/>
          <w:b/>
          <w:color w:val="000000"/>
          <w:sz w:val="24"/>
          <w:szCs w:val="24"/>
        </w:rPr>
        <w:t>一、评标原则</w:t>
      </w:r>
    </w:p>
    <w:p w14:paraId="480BDCA6">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（一）磋商小组构成：本磋商采购项目的磋商小组成员分别由依法组成的采购人代表及专家共3人（含3人）或以上单数构成，其中专家人数不少于成员总数的三分之二。</w:t>
      </w:r>
    </w:p>
    <w:p w14:paraId="7B33632D">
      <w:pPr>
        <w:pStyle w:val="4"/>
        <w:spacing w:line="520" w:lineRule="exact"/>
        <w:ind w:firstLine="331" w:firstLineChars="138"/>
        <w:rPr>
          <w:rFonts w:ascii="仿宋_GB2312" w:hAnsi="宋体" w:eastAsia="仿宋_GB2312"/>
          <w:color w:val="000000"/>
          <w:sz w:val="24"/>
          <w:szCs w:val="24"/>
        </w:rPr>
      </w:pPr>
      <w:r>
        <w:rPr>
          <w:rFonts w:hint="eastAsia" w:ascii="仿宋_GB2312" w:hAnsi="宋体" w:eastAsia="仿宋_GB2312"/>
          <w:bCs/>
          <w:color w:val="000000"/>
          <w:sz w:val="24"/>
          <w:szCs w:val="24"/>
        </w:rPr>
        <w:t>（二）评标依据：磋商小组将以竞争性磋商采购文件、磋商供应商的磋商响应文件为评标依据，对磋商供应商人的竞标报价、技术、</w:t>
      </w:r>
      <w:r>
        <w:rPr>
          <w:rFonts w:hint="eastAsia" w:ascii="仿宋_GB2312" w:hAnsi="宋体" w:eastAsia="仿宋_GB2312"/>
          <w:bCs/>
          <w:color w:val="000000"/>
          <w:sz w:val="24"/>
        </w:rPr>
        <w:t>商务</w:t>
      </w:r>
      <w:r>
        <w:rPr>
          <w:rFonts w:hint="eastAsia" w:ascii="仿宋_GB2312" w:hAnsi="宋体" w:eastAsia="仿宋_GB2312"/>
          <w:bCs/>
          <w:color w:val="000000"/>
          <w:sz w:val="24"/>
          <w:szCs w:val="24"/>
        </w:rPr>
        <w:t>等方面内容按百分制打分。</w:t>
      </w:r>
    </w:p>
    <w:p w14:paraId="02398D72">
      <w:pPr>
        <w:pStyle w:val="4"/>
        <w:spacing w:line="520" w:lineRule="exact"/>
        <w:ind w:firstLine="331" w:firstLineChars="138"/>
        <w:rPr>
          <w:rFonts w:ascii="仿宋_GB2312" w:hAnsi="宋体" w:eastAsia="仿宋_GB2312"/>
          <w:bCs/>
          <w:color w:val="000000"/>
          <w:sz w:val="24"/>
          <w:szCs w:val="24"/>
        </w:rPr>
      </w:pPr>
      <w:r>
        <w:rPr>
          <w:rFonts w:hint="eastAsia" w:ascii="仿宋_GB2312" w:hAnsi="宋体" w:eastAsia="仿宋_GB2312"/>
          <w:bCs/>
          <w:color w:val="000000"/>
          <w:sz w:val="24"/>
          <w:szCs w:val="24"/>
        </w:rPr>
        <w:t>（三）评标方式：以封闭方式进行。</w:t>
      </w:r>
    </w:p>
    <w:p w14:paraId="44439140">
      <w:pPr>
        <w:pStyle w:val="4"/>
        <w:spacing w:line="520" w:lineRule="exact"/>
        <w:ind w:firstLine="48" w:firstLineChars="20"/>
        <w:rPr>
          <w:rFonts w:ascii="仿宋_GB2312" w:hAnsi="宋体" w:eastAsia="仿宋_GB2312"/>
          <w:b/>
          <w:color w:val="000000"/>
          <w:sz w:val="24"/>
          <w:szCs w:val="24"/>
        </w:rPr>
      </w:pPr>
      <w:bookmarkStart w:id="10" w:name="_Toc496107148"/>
      <w:r>
        <w:rPr>
          <w:rFonts w:hint="eastAsia" w:ascii="仿宋_GB2312" w:hAnsi="宋体" w:eastAsia="仿宋_GB2312"/>
          <w:b/>
          <w:color w:val="000000"/>
          <w:sz w:val="24"/>
          <w:szCs w:val="24"/>
        </w:rPr>
        <w:t>二、评分标准</w:t>
      </w:r>
      <w:bookmarkEnd w:id="10"/>
    </w:p>
    <w:p w14:paraId="6AB25401">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根据《中华人民共和国招标投标法》及国家计委等七部委联合发布的《评标委员会和评标办法暂行规定》（2001年第12号令）等有关规定，并结合本项目招标文件及补充文件中的有关条款和内容予以确定本办法，作为招标方确定中标人的依据。</w:t>
      </w:r>
    </w:p>
    <w:p w14:paraId="652FA291">
      <w:pPr>
        <w:pStyle w:val="4"/>
        <w:spacing w:line="520" w:lineRule="exact"/>
        <w:ind w:firstLine="284" w:firstLineChars="118"/>
        <w:rPr>
          <w:rFonts w:ascii="仿宋_GB2312" w:hAnsi="宋体" w:eastAsia="仿宋_GB2312"/>
          <w:b/>
          <w:color w:val="000000"/>
          <w:sz w:val="24"/>
          <w:szCs w:val="24"/>
        </w:rPr>
      </w:pPr>
      <w:bookmarkStart w:id="11" w:name="_Toc496107149"/>
      <w:r>
        <w:rPr>
          <w:rFonts w:hint="eastAsia" w:ascii="仿宋_GB2312" w:hAnsi="宋体" w:eastAsia="仿宋_GB2312"/>
          <w:b/>
          <w:color w:val="000000"/>
          <w:sz w:val="24"/>
          <w:szCs w:val="24"/>
        </w:rPr>
        <w:t>1、评标准则</w:t>
      </w:r>
      <w:bookmarkEnd w:id="11"/>
    </w:p>
    <w:p w14:paraId="345751D7">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公平、公正、择优。</w:t>
      </w:r>
    </w:p>
    <w:p w14:paraId="7FA6B416">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优先推荐符合下列条件的投标人：能够满足招标文件的实质性要求；综合性价比好，有足够的履约能力。</w:t>
      </w:r>
    </w:p>
    <w:p w14:paraId="7349C389">
      <w:pPr>
        <w:pStyle w:val="4"/>
        <w:spacing w:line="520" w:lineRule="exact"/>
        <w:ind w:firstLine="284" w:firstLineChars="118"/>
        <w:rPr>
          <w:rFonts w:ascii="仿宋_GB2312" w:hAnsi="宋体" w:eastAsia="仿宋_GB2312"/>
          <w:b/>
          <w:color w:val="000000"/>
          <w:sz w:val="24"/>
          <w:szCs w:val="24"/>
        </w:rPr>
      </w:pPr>
      <w:bookmarkStart w:id="12" w:name="_Toc496107150"/>
      <w:r>
        <w:rPr>
          <w:rFonts w:hint="eastAsia" w:ascii="仿宋_GB2312" w:hAnsi="宋体" w:eastAsia="仿宋_GB2312"/>
          <w:b/>
          <w:color w:val="000000"/>
          <w:sz w:val="24"/>
          <w:szCs w:val="24"/>
        </w:rPr>
        <w:t>2、评标委员会</w:t>
      </w:r>
      <w:bookmarkEnd w:id="12"/>
    </w:p>
    <w:p w14:paraId="63F1D890">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本次评标工作由评标委员会负责。</w:t>
      </w:r>
    </w:p>
    <w:p w14:paraId="7CCEE98A">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评标委员会的组成：本次评标委员会由3名专家组成，其中相关涉及科室专家1人。</w:t>
      </w:r>
    </w:p>
    <w:p w14:paraId="4F29DA2E">
      <w:pPr>
        <w:pStyle w:val="4"/>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评标委员会组长由评标委员会成员集体推选，推选后由其主持并负责整个评标工作，直至本次评标工作结束。</w:t>
      </w:r>
    </w:p>
    <w:p w14:paraId="65966B54">
      <w:pPr>
        <w:pStyle w:val="4"/>
        <w:spacing w:line="520" w:lineRule="exact"/>
        <w:ind w:firstLine="284" w:firstLineChars="118"/>
        <w:rPr>
          <w:rFonts w:ascii="仿宋_GB2312" w:hAnsi="宋体" w:eastAsia="仿宋_GB2312"/>
          <w:b/>
          <w:color w:val="000000"/>
          <w:sz w:val="24"/>
          <w:szCs w:val="24"/>
        </w:rPr>
      </w:pPr>
      <w:bookmarkStart w:id="13" w:name="_Toc496107151"/>
      <w:r>
        <w:rPr>
          <w:rFonts w:hint="eastAsia" w:ascii="仿宋_GB2312" w:hAnsi="宋体" w:eastAsia="仿宋_GB2312"/>
          <w:b/>
          <w:color w:val="000000"/>
          <w:sz w:val="24"/>
          <w:szCs w:val="24"/>
        </w:rPr>
        <w:t>3、评标方式</w:t>
      </w:r>
      <w:bookmarkEnd w:id="13"/>
    </w:p>
    <w:p w14:paraId="16F3DDEC">
      <w:pPr>
        <w:pStyle w:val="4"/>
        <w:spacing w:line="520" w:lineRule="exact"/>
        <w:ind w:firstLine="283" w:firstLineChars="118"/>
        <w:rPr>
          <w:rFonts w:ascii="仿宋_GB2312" w:hAnsi="宋体" w:eastAsia="仿宋_GB2312"/>
          <w:bCs/>
          <w:color w:val="000000"/>
          <w:sz w:val="24"/>
          <w:szCs w:val="24"/>
        </w:rPr>
      </w:pPr>
      <w:r>
        <w:rPr>
          <w:rFonts w:hint="eastAsia" w:ascii="仿宋_GB2312" w:hAnsi="宋体" w:eastAsia="仿宋_GB2312"/>
          <w:bCs/>
          <w:color w:val="000000"/>
          <w:sz w:val="24"/>
          <w:szCs w:val="24"/>
        </w:rPr>
        <w:t>本次评标采用综合评估法，综合得分最高者为第一名，依次类推确定得分排名顺序。评标委员会对每个包推荐前二名投标人作为中标候选人报招标方，由招标方审核评标委员会意见，确定得分第一名者为中标人。若出现得分排名第一名的投标人放弃中标或由于不能按时提供履约保函，不能按招标文件规定签订合同等原因取消中标资格，则按得分排名顺序依次确定第二名投标人为中标人。</w:t>
      </w:r>
    </w:p>
    <w:p w14:paraId="3449CF39">
      <w:pPr>
        <w:pStyle w:val="4"/>
        <w:spacing w:line="520" w:lineRule="exact"/>
        <w:ind w:firstLine="482" w:firstLineChars="200"/>
        <w:rPr>
          <w:rFonts w:ascii="仿宋_GB2312" w:hAnsi="宋体" w:eastAsia="仿宋_GB2312"/>
          <w:b/>
          <w:color w:val="000000"/>
          <w:sz w:val="24"/>
          <w:szCs w:val="24"/>
        </w:rPr>
      </w:pPr>
      <w:r>
        <w:rPr>
          <w:rFonts w:hint="eastAsia" w:ascii="仿宋_GB2312" w:hAnsi="宋体" w:eastAsia="仿宋_GB2312"/>
          <w:b/>
          <w:color w:val="000000"/>
          <w:sz w:val="24"/>
          <w:szCs w:val="24"/>
        </w:rPr>
        <w:t>4、评分办法</w:t>
      </w:r>
    </w:p>
    <w:tbl>
      <w:tblPr>
        <w:tblStyle w:val="9"/>
        <w:tblW w:w="9371" w:type="dxa"/>
        <w:tblInd w:w="0" w:type="dxa"/>
        <w:tblLayout w:type="fixed"/>
        <w:tblCellMar>
          <w:top w:w="15" w:type="dxa"/>
          <w:left w:w="15" w:type="dxa"/>
          <w:bottom w:w="15" w:type="dxa"/>
          <w:right w:w="15" w:type="dxa"/>
        </w:tblCellMar>
      </w:tblPr>
      <w:tblGrid>
        <w:gridCol w:w="582"/>
        <w:gridCol w:w="1711"/>
        <w:gridCol w:w="1065"/>
        <w:gridCol w:w="6013"/>
      </w:tblGrid>
      <w:tr w14:paraId="1EA231FA">
        <w:tblPrEx>
          <w:tblCellMar>
            <w:top w:w="15" w:type="dxa"/>
            <w:left w:w="15" w:type="dxa"/>
            <w:bottom w:w="15" w:type="dxa"/>
            <w:right w:w="15"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14:paraId="3DB380E0">
            <w:pPr>
              <w:pStyle w:val="4"/>
              <w:spacing w:line="520" w:lineRule="exact"/>
              <w:rPr>
                <w:rFonts w:ascii="仿宋_GB2312" w:hAnsi="宋体" w:eastAsia="仿宋_GB2312"/>
                <w:bCs/>
                <w:color w:val="000000"/>
                <w:sz w:val="24"/>
                <w:szCs w:val="24"/>
              </w:rPr>
            </w:pPr>
            <w:r>
              <w:rPr>
                <w:rFonts w:hint="eastAsia" w:ascii="仿宋_GB2312" w:hAnsi="宋体" w:eastAsia="仿宋_GB2312"/>
                <w:bCs/>
                <w:color w:val="000000"/>
                <w:sz w:val="24"/>
                <w:szCs w:val="24"/>
              </w:rPr>
              <w:t>序号</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4D87BD76">
            <w:pPr>
              <w:pStyle w:val="4"/>
              <w:spacing w:line="520" w:lineRule="exact"/>
              <w:rPr>
                <w:rFonts w:ascii="仿宋_GB2312" w:hAnsi="宋体" w:eastAsia="仿宋_GB2312"/>
                <w:bCs/>
                <w:color w:val="000000"/>
                <w:sz w:val="24"/>
                <w:szCs w:val="24"/>
              </w:rPr>
            </w:pPr>
            <w:r>
              <w:rPr>
                <w:rFonts w:hint="eastAsia" w:ascii="仿宋_GB2312" w:hAnsi="宋体" w:eastAsia="仿宋_GB2312"/>
                <w:bCs/>
                <w:color w:val="000000"/>
                <w:sz w:val="24"/>
                <w:szCs w:val="24"/>
              </w:rPr>
              <w:t>评分因素及权重</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705626A9">
            <w:pPr>
              <w:pStyle w:val="4"/>
              <w:spacing w:line="520" w:lineRule="exact"/>
              <w:rPr>
                <w:rFonts w:ascii="仿宋_GB2312" w:hAnsi="宋体" w:eastAsia="仿宋_GB2312"/>
                <w:bCs/>
                <w:color w:val="000000"/>
                <w:sz w:val="24"/>
                <w:szCs w:val="24"/>
              </w:rPr>
            </w:pPr>
            <w:r>
              <w:rPr>
                <w:rFonts w:hint="eastAsia" w:ascii="仿宋_GB2312" w:hAnsi="宋体" w:eastAsia="仿宋_GB2312"/>
                <w:bCs/>
                <w:color w:val="000000"/>
                <w:sz w:val="24"/>
                <w:szCs w:val="24"/>
              </w:rPr>
              <w:t>加权分值</w:t>
            </w:r>
          </w:p>
        </w:tc>
        <w:tc>
          <w:tcPr>
            <w:tcW w:w="6013" w:type="dxa"/>
            <w:tcBorders>
              <w:top w:val="single" w:color="000000" w:sz="4" w:space="0"/>
              <w:left w:val="single" w:color="000000" w:sz="4" w:space="0"/>
              <w:bottom w:val="single" w:color="000000" w:sz="4" w:space="0"/>
              <w:right w:val="single" w:color="000000" w:sz="4" w:space="0"/>
            </w:tcBorders>
            <w:noWrap/>
            <w:vAlign w:val="center"/>
          </w:tcPr>
          <w:p w14:paraId="28F6F214">
            <w:pPr>
              <w:pStyle w:val="4"/>
              <w:spacing w:line="520" w:lineRule="exact"/>
              <w:ind w:firstLine="283" w:firstLineChars="118"/>
              <w:jc w:val="center"/>
              <w:rPr>
                <w:rFonts w:ascii="仿宋_GB2312" w:hAnsi="宋体" w:eastAsia="仿宋_GB2312"/>
                <w:bCs/>
                <w:color w:val="000000"/>
                <w:sz w:val="24"/>
                <w:szCs w:val="24"/>
              </w:rPr>
            </w:pPr>
            <w:r>
              <w:rPr>
                <w:rFonts w:hint="eastAsia" w:ascii="仿宋_GB2312" w:hAnsi="宋体" w:eastAsia="仿宋_GB2312"/>
                <w:bCs/>
                <w:color w:val="000000"/>
                <w:sz w:val="24"/>
                <w:szCs w:val="24"/>
              </w:rPr>
              <w:t>评分标准</w:t>
            </w:r>
          </w:p>
        </w:tc>
      </w:tr>
      <w:tr w14:paraId="19A99E89">
        <w:tblPrEx>
          <w:tblCellMar>
            <w:top w:w="15" w:type="dxa"/>
            <w:left w:w="15" w:type="dxa"/>
            <w:bottom w:w="15" w:type="dxa"/>
            <w:right w:w="15" w:type="dxa"/>
          </w:tblCellMar>
        </w:tblPrEx>
        <w:trPr>
          <w:trHeight w:val="2338"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14:paraId="1CED1418">
            <w:pPr>
              <w:pStyle w:val="4"/>
              <w:spacing w:line="520" w:lineRule="exact"/>
              <w:ind w:firstLine="283" w:firstLineChars="118"/>
              <w:rPr>
                <w:rFonts w:ascii="仿宋_GB2312" w:hAnsi="宋体" w:eastAsia="仿宋_GB2312"/>
                <w:bCs/>
                <w:color w:val="000000"/>
                <w:sz w:val="24"/>
                <w:szCs w:val="24"/>
              </w:rPr>
            </w:pPr>
            <w:r>
              <w:rPr>
                <w:rFonts w:hint="eastAsia" w:ascii="仿宋_GB2312" w:hAnsi="宋体" w:eastAsia="仿宋_GB2312"/>
                <w:bCs/>
                <w:color w:val="000000"/>
                <w:sz w:val="24"/>
                <w:szCs w:val="24"/>
              </w:rPr>
              <w:t>1</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2A8780FE">
            <w:pPr>
              <w:pStyle w:val="4"/>
              <w:spacing w:line="520" w:lineRule="exact"/>
              <w:ind w:firstLine="283" w:firstLineChars="118"/>
              <w:rPr>
                <w:rFonts w:ascii="仿宋" w:hAnsi="仿宋" w:eastAsia="仿宋" w:cs="仿宋"/>
                <w:bCs/>
                <w:color w:val="000000"/>
                <w:sz w:val="24"/>
                <w:szCs w:val="24"/>
              </w:rPr>
            </w:pPr>
            <w:r>
              <w:rPr>
                <w:rFonts w:hint="eastAsia" w:ascii="仿宋" w:hAnsi="仿宋" w:eastAsia="仿宋" w:cs="仿宋"/>
                <w:bCs/>
                <w:color w:val="000000"/>
                <w:sz w:val="24"/>
                <w:szCs w:val="24"/>
              </w:rPr>
              <w:t>报价分</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1FFFD5CE">
            <w:pPr>
              <w:pStyle w:val="4"/>
              <w:spacing w:line="520" w:lineRule="exact"/>
              <w:ind w:firstLine="283" w:firstLineChars="118"/>
              <w:rPr>
                <w:rFonts w:ascii="仿宋" w:hAnsi="仿宋" w:eastAsia="仿宋" w:cs="仿宋"/>
                <w:bCs/>
                <w:color w:val="000000"/>
                <w:sz w:val="24"/>
                <w:szCs w:val="24"/>
              </w:rPr>
            </w:pPr>
            <w:r>
              <w:rPr>
                <w:rFonts w:hint="eastAsia" w:ascii="仿宋" w:hAnsi="仿宋" w:eastAsia="仿宋" w:cs="仿宋"/>
                <w:bCs/>
                <w:color w:val="000000"/>
                <w:sz w:val="24"/>
                <w:szCs w:val="24"/>
              </w:rPr>
              <w:t>20分</w:t>
            </w:r>
          </w:p>
        </w:tc>
        <w:tc>
          <w:tcPr>
            <w:tcW w:w="6013" w:type="dxa"/>
            <w:tcBorders>
              <w:top w:val="single" w:color="000000" w:sz="4" w:space="0"/>
              <w:left w:val="single" w:color="000000" w:sz="4" w:space="0"/>
              <w:bottom w:val="single" w:color="000000" w:sz="4" w:space="0"/>
              <w:right w:val="single" w:color="000000" w:sz="4" w:space="0"/>
            </w:tcBorders>
            <w:noWrap/>
            <w:vAlign w:val="center"/>
          </w:tcPr>
          <w:p w14:paraId="71A47388">
            <w:pPr>
              <w:pStyle w:val="4"/>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综合评分法中的价格分统一采用价格优先法计算，即满足文件要求且价格最低的报价为基准价，其价格分为满分。其他参选人的价格分统一按照下列公式计算： 报价得分=(报价／评标基准价)×权重×100</w:t>
            </w:r>
          </w:p>
        </w:tc>
      </w:tr>
      <w:tr w14:paraId="59FA85FD">
        <w:tblPrEx>
          <w:tblCellMar>
            <w:top w:w="15" w:type="dxa"/>
            <w:left w:w="15" w:type="dxa"/>
            <w:bottom w:w="15" w:type="dxa"/>
            <w:right w:w="15" w:type="dxa"/>
          </w:tblCellMar>
        </w:tblPrEx>
        <w:trPr>
          <w:trHeight w:val="2338"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14:paraId="3AC117BE">
            <w:pPr>
              <w:pStyle w:val="4"/>
              <w:spacing w:line="520" w:lineRule="exact"/>
              <w:ind w:firstLine="283" w:firstLineChars="118"/>
              <w:rPr>
                <w:rFonts w:ascii="仿宋_GB2312" w:hAnsi="宋体" w:eastAsia="仿宋_GB2312"/>
                <w:bCs/>
                <w:color w:val="000000"/>
                <w:sz w:val="24"/>
                <w:szCs w:val="24"/>
              </w:rPr>
            </w:pPr>
            <w:r>
              <w:rPr>
                <w:rFonts w:hint="eastAsia" w:ascii="仿宋_GB2312" w:hAnsi="宋体" w:eastAsia="仿宋_GB2312"/>
                <w:bCs/>
                <w:color w:val="000000"/>
                <w:sz w:val="24"/>
                <w:szCs w:val="24"/>
              </w:rPr>
              <w:t>2</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705BA160">
            <w:pPr>
              <w:pStyle w:val="4"/>
              <w:spacing w:line="520" w:lineRule="exact"/>
              <w:ind w:firstLine="283" w:firstLineChars="118"/>
              <w:rPr>
                <w:rFonts w:ascii="仿宋" w:hAnsi="仿宋" w:eastAsia="仿宋" w:cs="仿宋"/>
                <w:bCs/>
                <w:color w:val="000000"/>
                <w:sz w:val="24"/>
                <w:szCs w:val="24"/>
              </w:rPr>
            </w:pPr>
            <w:r>
              <w:rPr>
                <w:rFonts w:hint="eastAsia" w:ascii="仿宋" w:hAnsi="仿宋" w:eastAsia="仿宋" w:cs="仿宋"/>
                <w:bCs/>
                <w:color w:val="000000"/>
                <w:sz w:val="24"/>
                <w:szCs w:val="24"/>
              </w:rPr>
              <w:t>方案评价分</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162B0CAD">
            <w:pPr>
              <w:pStyle w:val="4"/>
              <w:spacing w:line="520" w:lineRule="exact"/>
              <w:ind w:firstLine="283" w:firstLineChars="118"/>
              <w:rPr>
                <w:rFonts w:ascii="仿宋" w:hAnsi="仿宋" w:eastAsia="仿宋" w:cs="仿宋"/>
                <w:bCs/>
                <w:color w:val="000000"/>
                <w:sz w:val="24"/>
                <w:szCs w:val="24"/>
              </w:rPr>
            </w:pPr>
            <w:r>
              <w:rPr>
                <w:rFonts w:hint="eastAsia" w:ascii="仿宋" w:hAnsi="仿宋" w:eastAsia="仿宋" w:cs="仿宋"/>
                <w:bCs/>
                <w:color w:val="000000"/>
                <w:sz w:val="24"/>
                <w:szCs w:val="24"/>
              </w:rPr>
              <w:t>20分</w:t>
            </w:r>
          </w:p>
        </w:tc>
        <w:tc>
          <w:tcPr>
            <w:tcW w:w="6013" w:type="dxa"/>
            <w:tcBorders>
              <w:top w:val="single" w:color="000000" w:sz="4" w:space="0"/>
              <w:left w:val="single" w:color="000000" w:sz="4" w:space="0"/>
              <w:bottom w:val="single" w:color="000000" w:sz="4" w:space="0"/>
              <w:right w:val="single" w:color="000000" w:sz="4" w:space="0"/>
            </w:tcBorders>
            <w:noWrap/>
            <w:vAlign w:val="center"/>
          </w:tcPr>
          <w:p w14:paraId="221EC03B">
            <w:pPr>
              <w:pStyle w:val="4"/>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方案评价分（满分20分）(本项评分由评标委员会集体讨论确定各投标人所属档次，由各评委在档次内独立打分)</w:t>
            </w:r>
          </w:p>
          <w:p w14:paraId="37F6A7A6">
            <w:pPr>
              <w:pStyle w:val="4"/>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一档（0.1-10分）：基本满足招标文件要求，办会方案一般；</w:t>
            </w:r>
          </w:p>
          <w:p w14:paraId="34C4B064">
            <w:pPr>
              <w:pStyle w:val="4"/>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二档（10.1-20分）总体满足招标文件要求，办会方案优秀；</w:t>
            </w:r>
          </w:p>
          <w:p w14:paraId="35F1B4BC">
            <w:pPr>
              <w:pStyle w:val="4"/>
              <w:spacing w:line="520" w:lineRule="exact"/>
              <w:ind w:firstLine="283" w:firstLineChars="118"/>
              <w:jc w:val="left"/>
              <w:rPr>
                <w:rFonts w:ascii="仿宋" w:hAnsi="仿宋" w:eastAsia="仿宋" w:cs="仿宋"/>
                <w:bCs/>
                <w:color w:val="000000"/>
                <w:sz w:val="24"/>
                <w:szCs w:val="24"/>
              </w:rPr>
            </w:pPr>
          </w:p>
        </w:tc>
      </w:tr>
      <w:tr w14:paraId="3B4D54CA">
        <w:tblPrEx>
          <w:tblCellMar>
            <w:top w:w="15" w:type="dxa"/>
            <w:left w:w="15" w:type="dxa"/>
            <w:bottom w:w="15" w:type="dxa"/>
            <w:right w:w="15" w:type="dxa"/>
          </w:tblCellMar>
        </w:tblPrEx>
        <w:trPr>
          <w:trHeight w:val="1131" w:hRule="atLeast"/>
        </w:trPr>
        <w:tc>
          <w:tcPr>
            <w:tcW w:w="582" w:type="dxa"/>
            <w:tcBorders>
              <w:top w:val="single" w:color="000000" w:sz="4" w:space="0"/>
              <w:left w:val="single" w:color="000000" w:sz="4" w:space="0"/>
              <w:bottom w:val="single" w:color="000000" w:sz="4" w:space="0"/>
              <w:right w:val="single" w:color="000000" w:sz="4" w:space="0"/>
            </w:tcBorders>
            <w:noWrap/>
            <w:vAlign w:val="center"/>
          </w:tcPr>
          <w:p w14:paraId="0B7EF4B7">
            <w:pPr>
              <w:pStyle w:val="4"/>
              <w:spacing w:line="520" w:lineRule="exact"/>
              <w:ind w:firstLine="283" w:firstLineChars="118"/>
              <w:rPr>
                <w:rFonts w:ascii="仿宋_GB2312" w:hAnsi="宋体" w:eastAsia="仿宋_GB2312"/>
                <w:bCs/>
                <w:color w:val="000000"/>
                <w:sz w:val="24"/>
                <w:szCs w:val="24"/>
              </w:rPr>
            </w:pPr>
            <w:r>
              <w:rPr>
                <w:rFonts w:hint="eastAsia" w:ascii="仿宋_GB2312" w:hAnsi="宋体" w:eastAsia="仿宋_GB2312"/>
                <w:bCs/>
                <w:color w:val="000000"/>
                <w:sz w:val="24"/>
                <w:szCs w:val="24"/>
              </w:rPr>
              <w:t>3</w:t>
            </w:r>
          </w:p>
        </w:tc>
        <w:tc>
          <w:tcPr>
            <w:tcW w:w="1711" w:type="dxa"/>
            <w:tcBorders>
              <w:top w:val="single" w:color="000000" w:sz="4" w:space="0"/>
              <w:left w:val="single" w:color="000000" w:sz="4" w:space="0"/>
              <w:bottom w:val="single" w:color="000000" w:sz="4" w:space="0"/>
              <w:right w:val="single" w:color="000000" w:sz="4" w:space="0"/>
            </w:tcBorders>
            <w:noWrap/>
            <w:vAlign w:val="center"/>
          </w:tcPr>
          <w:p w14:paraId="7980EA88">
            <w:pPr>
              <w:pStyle w:val="4"/>
              <w:spacing w:line="520" w:lineRule="exact"/>
              <w:ind w:firstLine="283" w:firstLineChars="118"/>
              <w:rPr>
                <w:rFonts w:ascii="仿宋" w:hAnsi="仿宋" w:eastAsia="仿宋" w:cs="仿宋"/>
                <w:bCs/>
                <w:color w:val="000000"/>
                <w:sz w:val="24"/>
                <w:szCs w:val="24"/>
              </w:rPr>
            </w:pPr>
            <w:r>
              <w:rPr>
                <w:rFonts w:hint="eastAsia" w:ascii="仿宋" w:hAnsi="仿宋" w:eastAsia="仿宋" w:cs="仿宋"/>
                <w:bCs/>
                <w:color w:val="000000"/>
                <w:sz w:val="24"/>
                <w:szCs w:val="24"/>
              </w:rPr>
              <w:t>售后服务分</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68940A7E">
            <w:pPr>
              <w:pStyle w:val="4"/>
              <w:spacing w:line="520" w:lineRule="exact"/>
              <w:ind w:firstLine="283" w:firstLineChars="118"/>
              <w:rPr>
                <w:rFonts w:ascii="仿宋" w:hAnsi="仿宋" w:eastAsia="仿宋" w:cs="仿宋"/>
                <w:bCs/>
                <w:color w:val="000000"/>
                <w:sz w:val="24"/>
                <w:szCs w:val="24"/>
              </w:rPr>
            </w:pPr>
            <w:r>
              <w:rPr>
                <w:rFonts w:hint="eastAsia" w:ascii="仿宋" w:hAnsi="仿宋" w:eastAsia="仿宋" w:cs="仿宋"/>
                <w:bCs/>
                <w:color w:val="000000"/>
                <w:sz w:val="24"/>
                <w:szCs w:val="24"/>
              </w:rPr>
              <w:t>30分</w:t>
            </w:r>
          </w:p>
        </w:tc>
        <w:tc>
          <w:tcPr>
            <w:tcW w:w="6013" w:type="dxa"/>
            <w:tcBorders>
              <w:top w:val="single" w:color="000000" w:sz="4" w:space="0"/>
              <w:left w:val="single" w:color="000000" w:sz="4" w:space="0"/>
              <w:bottom w:val="single" w:color="000000" w:sz="4" w:space="0"/>
              <w:right w:val="single" w:color="000000" w:sz="4" w:space="0"/>
            </w:tcBorders>
            <w:noWrap/>
            <w:vAlign w:val="center"/>
          </w:tcPr>
          <w:p w14:paraId="31F3994B">
            <w:pPr>
              <w:pStyle w:val="4"/>
              <w:spacing w:line="520" w:lineRule="exact"/>
              <w:ind w:firstLine="283" w:firstLineChars="118"/>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售后服务分（满分30分）(本项评分由评标委员会集体讨论确定各投标人所属档次，由各评委在档次内独立打分)</w:t>
            </w:r>
          </w:p>
          <w:p w14:paraId="7AD6D628">
            <w:pPr>
              <w:pStyle w:val="4"/>
              <w:spacing w:line="520" w:lineRule="exact"/>
              <w:ind w:firstLine="283" w:firstLineChars="118"/>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一档（0.1-10分）：基本满足招标文件要求，服务方案一般；</w:t>
            </w:r>
          </w:p>
          <w:p w14:paraId="3314B392">
            <w:pPr>
              <w:pStyle w:val="4"/>
              <w:spacing w:line="520" w:lineRule="exact"/>
              <w:ind w:firstLine="283" w:firstLineChars="118"/>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二档（10.1-20分）总体满足招标文件要求，服务方案良好；</w:t>
            </w:r>
          </w:p>
          <w:p w14:paraId="5D7E2762">
            <w:pPr>
              <w:pStyle w:val="4"/>
              <w:spacing w:line="520" w:lineRule="exact"/>
              <w:ind w:firstLine="283" w:firstLineChars="118"/>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三档（20.1-30分）满足招标文件要求，服务方案优秀。</w:t>
            </w:r>
          </w:p>
        </w:tc>
      </w:tr>
      <w:tr w14:paraId="735F6F8C">
        <w:tblPrEx>
          <w:tblCellMar>
            <w:top w:w="15" w:type="dxa"/>
            <w:left w:w="15" w:type="dxa"/>
            <w:bottom w:w="15" w:type="dxa"/>
            <w:right w:w="15" w:type="dxa"/>
          </w:tblCellMar>
        </w:tblPrEx>
        <w:trPr>
          <w:trHeight w:val="1346" w:hRule="atLeast"/>
        </w:trPr>
        <w:tc>
          <w:tcPr>
            <w:tcW w:w="582" w:type="dxa"/>
            <w:tcBorders>
              <w:top w:val="single" w:color="000000" w:sz="4" w:space="0"/>
              <w:left w:val="single" w:color="000000" w:sz="4" w:space="0"/>
              <w:bottom w:val="single" w:color="auto" w:sz="4" w:space="0"/>
              <w:right w:val="single" w:color="000000" w:sz="4" w:space="0"/>
            </w:tcBorders>
            <w:noWrap/>
            <w:vAlign w:val="center"/>
          </w:tcPr>
          <w:p w14:paraId="1B0880CC">
            <w:pPr>
              <w:pStyle w:val="4"/>
              <w:spacing w:line="520" w:lineRule="exact"/>
              <w:ind w:firstLine="283" w:firstLineChars="118"/>
              <w:rPr>
                <w:rFonts w:ascii="仿宋_GB2312" w:hAnsi="宋体" w:eastAsia="仿宋_GB2312"/>
                <w:bCs/>
                <w:color w:val="000000"/>
                <w:sz w:val="24"/>
                <w:szCs w:val="24"/>
              </w:rPr>
            </w:pPr>
            <w:r>
              <w:rPr>
                <w:rFonts w:hint="eastAsia" w:ascii="仿宋_GB2312" w:hAnsi="宋体" w:eastAsia="仿宋_GB2312"/>
                <w:bCs/>
                <w:color w:val="000000"/>
                <w:sz w:val="24"/>
                <w:szCs w:val="24"/>
              </w:rPr>
              <w:t>4</w:t>
            </w:r>
          </w:p>
        </w:tc>
        <w:tc>
          <w:tcPr>
            <w:tcW w:w="1711" w:type="dxa"/>
            <w:tcBorders>
              <w:top w:val="single" w:color="000000" w:sz="4" w:space="0"/>
              <w:left w:val="single" w:color="000000" w:sz="4" w:space="0"/>
              <w:bottom w:val="single" w:color="auto" w:sz="4" w:space="0"/>
              <w:right w:val="single" w:color="000000" w:sz="4" w:space="0"/>
            </w:tcBorders>
            <w:noWrap/>
            <w:vAlign w:val="center"/>
          </w:tcPr>
          <w:p w14:paraId="01EF8406">
            <w:pPr>
              <w:pStyle w:val="4"/>
              <w:spacing w:line="520" w:lineRule="exact"/>
              <w:ind w:firstLine="283" w:firstLineChars="118"/>
              <w:rPr>
                <w:rFonts w:ascii="仿宋" w:hAnsi="仿宋" w:eastAsia="仿宋" w:cs="仿宋"/>
                <w:color w:val="000000"/>
                <w:kern w:val="0"/>
                <w:sz w:val="24"/>
                <w:szCs w:val="24"/>
              </w:rPr>
            </w:pPr>
            <w:r>
              <w:rPr>
                <w:rFonts w:hint="eastAsia" w:ascii="仿宋" w:hAnsi="仿宋" w:eastAsia="仿宋" w:cs="仿宋"/>
                <w:bCs/>
                <w:color w:val="000000"/>
                <w:sz w:val="24"/>
                <w:szCs w:val="24"/>
              </w:rPr>
              <w:t>业绩分</w:t>
            </w:r>
          </w:p>
        </w:tc>
        <w:tc>
          <w:tcPr>
            <w:tcW w:w="1065" w:type="dxa"/>
            <w:tcBorders>
              <w:top w:val="single" w:color="000000" w:sz="4" w:space="0"/>
              <w:left w:val="single" w:color="000000" w:sz="4" w:space="0"/>
              <w:bottom w:val="single" w:color="auto" w:sz="4" w:space="0"/>
              <w:right w:val="single" w:color="000000" w:sz="4" w:space="0"/>
            </w:tcBorders>
            <w:noWrap/>
            <w:vAlign w:val="center"/>
          </w:tcPr>
          <w:p w14:paraId="1ABE305B">
            <w:pPr>
              <w:pStyle w:val="4"/>
              <w:spacing w:line="520" w:lineRule="exact"/>
              <w:ind w:firstLine="283" w:firstLineChars="118"/>
              <w:rPr>
                <w:rFonts w:ascii="仿宋" w:hAnsi="仿宋" w:eastAsia="仿宋" w:cs="仿宋"/>
                <w:color w:val="000000"/>
                <w:kern w:val="0"/>
                <w:sz w:val="24"/>
                <w:szCs w:val="24"/>
              </w:rPr>
            </w:pPr>
            <w:r>
              <w:rPr>
                <w:rFonts w:hint="eastAsia" w:ascii="仿宋" w:hAnsi="仿宋" w:eastAsia="仿宋" w:cs="仿宋"/>
                <w:bCs/>
                <w:color w:val="000000"/>
                <w:sz w:val="24"/>
                <w:szCs w:val="24"/>
              </w:rPr>
              <w:t>30分</w:t>
            </w:r>
          </w:p>
        </w:tc>
        <w:tc>
          <w:tcPr>
            <w:tcW w:w="6013" w:type="dxa"/>
            <w:tcBorders>
              <w:top w:val="single" w:color="000000" w:sz="4" w:space="0"/>
              <w:left w:val="single" w:color="000000" w:sz="4" w:space="0"/>
              <w:bottom w:val="single" w:color="auto" w:sz="4" w:space="0"/>
              <w:right w:val="single" w:color="000000" w:sz="4" w:space="0"/>
            </w:tcBorders>
            <w:noWrap/>
            <w:vAlign w:val="center"/>
          </w:tcPr>
          <w:p w14:paraId="7F584FA5">
            <w:pPr>
              <w:pStyle w:val="4"/>
              <w:numPr>
                <w:ilvl w:val="0"/>
                <w:numId w:val="3"/>
              </w:numPr>
              <w:spacing w:line="520" w:lineRule="exact"/>
              <w:jc w:val="left"/>
              <w:rPr>
                <w:rFonts w:ascii="仿宋" w:hAnsi="仿宋" w:eastAsia="仿宋" w:cs="仿宋"/>
                <w:bCs/>
                <w:color w:val="000000"/>
                <w:sz w:val="24"/>
                <w:szCs w:val="24"/>
              </w:rPr>
            </w:pPr>
            <w:r>
              <w:rPr>
                <w:rFonts w:hint="eastAsia" w:ascii="仿宋" w:hAnsi="仿宋" w:eastAsia="仿宋" w:cs="仿宋"/>
                <w:bCs/>
                <w:color w:val="000000"/>
                <w:sz w:val="24"/>
                <w:szCs w:val="24"/>
              </w:rPr>
              <w:t>投标人有举办区级卫生健康系统项目的（以新闻报道的截图等证明材料为准），每举办一个得2分，最高得10分；</w:t>
            </w:r>
          </w:p>
          <w:p w14:paraId="066CBDE8">
            <w:pPr>
              <w:pStyle w:val="4"/>
              <w:numPr>
                <w:ilvl w:val="0"/>
                <w:numId w:val="3"/>
              </w:numPr>
              <w:spacing w:line="520" w:lineRule="exact"/>
              <w:jc w:val="left"/>
              <w:rPr>
                <w:rFonts w:ascii="仿宋" w:hAnsi="仿宋" w:eastAsia="仿宋" w:cs="仿宋"/>
                <w:bCs/>
                <w:color w:val="000000"/>
                <w:sz w:val="24"/>
                <w:szCs w:val="24"/>
              </w:rPr>
            </w:pPr>
            <w:r>
              <w:rPr>
                <w:rFonts w:hint="eastAsia" w:ascii="仿宋" w:hAnsi="仿宋" w:eastAsia="仿宋" w:cs="仿宋"/>
                <w:bCs/>
                <w:color w:val="000000"/>
                <w:sz w:val="24"/>
                <w:szCs w:val="24"/>
              </w:rPr>
              <w:t>有在三甲医院举办培训的，每举办一个得2分，最高得10分；</w:t>
            </w:r>
          </w:p>
          <w:p w14:paraId="395328EA">
            <w:pPr>
              <w:pStyle w:val="4"/>
              <w:numPr>
                <w:ilvl w:val="0"/>
                <w:numId w:val="3"/>
              </w:numPr>
              <w:spacing w:line="520" w:lineRule="exact"/>
              <w:jc w:val="left"/>
              <w:rPr>
                <w:rFonts w:ascii="仿宋" w:hAnsi="仿宋" w:eastAsia="仿宋" w:cs="仿宋"/>
                <w:bCs/>
                <w:color w:val="000000"/>
                <w:sz w:val="24"/>
                <w:szCs w:val="24"/>
              </w:rPr>
            </w:pPr>
            <w:r>
              <w:rPr>
                <w:rFonts w:hint="eastAsia" w:ascii="仿宋" w:hAnsi="仿宋" w:eastAsia="仿宋" w:cs="仿宋"/>
                <w:bCs/>
                <w:color w:val="000000"/>
                <w:sz w:val="24"/>
                <w:szCs w:val="24"/>
              </w:rPr>
              <w:t>有举办200人以上相关培训的，每举办一个得2分，最高得10分。</w:t>
            </w:r>
          </w:p>
        </w:tc>
      </w:tr>
    </w:tbl>
    <w:p w14:paraId="52B77D83">
      <w:pPr>
        <w:pStyle w:val="2"/>
        <w:rPr>
          <w:rFonts w:ascii="仿宋_GB2312" w:hAnsi="宋体" w:eastAsia="仿宋_GB2312"/>
          <w:b/>
          <w:color w:val="000000"/>
          <w:sz w:val="32"/>
          <w:szCs w:val="32"/>
        </w:rPr>
      </w:pPr>
      <w:bookmarkStart w:id="14" w:name="_Toc464692183"/>
    </w:p>
    <w:p w14:paraId="41B6AA8E">
      <w:pPr>
        <w:spacing w:line="500" w:lineRule="exact"/>
        <w:ind w:firstLine="2891" w:firstLineChars="900"/>
        <w:outlineLvl w:val="0"/>
        <w:rPr>
          <w:rFonts w:ascii="仿宋_GB2312" w:hAnsi="宋体" w:eastAsia="仿宋_GB2312"/>
          <w:b/>
          <w:color w:val="000000"/>
          <w:sz w:val="32"/>
          <w:szCs w:val="32"/>
        </w:rPr>
      </w:pPr>
      <w:r>
        <w:rPr>
          <w:rFonts w:hint="eastAsia" w:ascii="仿宋_GB2312" w:hAnsi="宋体" w:eastAsia="仿宋_GB2312"/>
          <w:b/>
          <w:color w:val="000000"/>
          <w:sz w:val="32"/>
          <w:szCs w:val="32"/>
        </w:rPr>
        <w:t>第三章 采购项目及要求</w:t>
      </w:r>
      <w:bookmarkEnd w:id="14"/>
    </w:p>
    <w:p w14:paraId="316F53FF">
      <w:pPr>
        <w:pStyle w:val="4"/>
        <w:spacing w:line="520" w:lineRule="exact"/>
        <w:ind w:firstLine="48" w:firstLineChars="20"/>
        <w:rPr>
          <w:rFonts w:ascii="仿宋_GB2312" w:hAnsi="宋体" w:eastAsia="仿宋_GB2312"/>
          <w:b/>
          <w:color w:val="000000"/>
          <w:sz w:val="24"/>
          <w:szCs w:val="24"/>
        </w:rPr>
      </w:pPr>
      <w:r>
        <w:rPr>
          <w:rFonts w:hint="eastAsia" w:ascii="仿宋_GB2312" w:hAnsi="宋体" w:eastAsia="仿宋_GB2312"/>
          <w:b/>
          <w:color w:val="000000"/>
          <w:sz w:val="24"/>
          <w:szCs w:val="24"/>
        </w:rPr>
        <w:t> 一、采购项目的名称、数量、简要规格描述或项目基本概况介绍：</w:t>
      </w:r>
    </w:p>
    <w:p w14:paraId="7F3BEE25">
      <w:pPr>
        <w:spacing w:line="400" w:lineRule="exact"/>
        <w:ind w:firstLine="482" w:firstLineChars="200"/>
        <w:rPr>
          <w:rFonts w:ascii="仿宋" w:hAnsi="仿宋" w:eastAsia="仿宋" w:cs="仿宋"/>
          <w:color w:val="000000"/>
          <w:sz w:val="24"/>
        </w:rPr>
      </w:pPr>
      <w:r>
        <w:rPr>
          <w:rFonts w:hint="eastAsia" w:ascii="仿宋" w:hAnsi="仿宋" w:eastAsia="仿宋" w:cs="仿宋"/>
          <w:b/>
          <w:bCs/>
          <w:color w:val="000000"/>
          <w:sz w:val="24"/>
        </w:rPr>
        <w:t>（一）基本概况：南宁市第一人民医院区级继续教育《移动互联网时代医院文化建设》项目。</w:t>
      </w:r>
    </w:p>
    <w:p w14:paraId="599163D9">
      <w:pPr>
        <w:pStyle w:val="3"/>
        <w:spacing w:line="400" w:lineRule="exact"/>
        <w:ind w:firstLine="457" w:firstLineChars="196"/>
        <w:rPr>
          <w:rFonts w:ascii="仿宋" w:hAnsi="仿宋" w:eastAsia="仿宋" w:cs="仿宋"/>
          <w:b/>
          <w:bCs/>
          <w:color w:val="000000"/>
          <w:sz w:val="24"/>
        </w:rPr>
      </w:pPr>
      <w:r>
        <w:rPr>
          <w:rFonts w:hint="eastAsia" w:ascii="仿宋" w:hAnsi="仿宋" w:eastAsia="仿宋" w:cs="仿宋"/>
          <w:b/>
          <w:bCs/>
          <w:color w:val="000000"/>
          <w:sz w:val="24"/>
        </w:rPr>
        <w:t>二、采购项目内容及要求：</w:t>
      </w:r>
    </w:p>
    <w:p w14:paraId="70815B82">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（一）、采购内容：</w:t>
      </w:r>
    </w:p>
    <w:p w14:paraId="1C9D4533">
      <w:pPr>
        <w:pStyle w:val="3"/>
        <w:spacing w:line="400" w:lineRule="exact"/>
        <w:ind w:firstLine="464" w:firstLineChars="200"/>
        <w:rPr>
          <w:rFonts w:ascii="仿宋" w:hAnsi="仿宋" w:eastAsia="仿宋" w:cs="仿宋"/>
          <w:color w:val="FF0000"/>
          <w:sz w:val="24"/>
        </w:rPr>
      </w:pPr>
      <w:r>
        <w:rPr>
          <w:rFonts w:hint="eastAsia" w:ascii="仿宋" w:hAnsi="仿宋" w:eastAsia="仿宋" w:cs="仿宋"/>
          <w:color w:val="FF0000"/>
          <w:sz w:val="24"/>
        </w:rPr>
        <w:t>我院区级继续教育《移动互联网时代医院文化建设》项目需寻找一家合作办会单位。</w:t>
      </w:r>
    </w:p>
    <w:p w14:paraId="135875CE">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（二）采购要求：</w:t>
      </w:r>
    </w:p>
    <w:p w14:paraId="28EC9D90">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1、凡符合《中华人民共和国政府采购法》第二十二条的要求，在中华人民共和国依照《中华人民共和国公司法》注册的具有独立法人资格，且具有相应经营资质单位均可报名参加。</w:t>
      </w:r>
    </w:p>
    <w:p w14:paraId="0CEAC1F0">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2、供应商须具有法定部门颁发的有效的营业执照、税务登记、组织机构代码证、法定代表人授权委托书等相关证件；提供（单位）资质证书及法人信息资料。</w:t>
      </w:r>
    </w:p>
    <w:p w14:paraId="4B828A74">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3、供应商 2017 年 1 月 1 日至今有类似与党政机关、事业单位、或大中型企业发生过有关类似项目采购的业务合同或政府采购成交通知书。</w:t>
      </w:r>
    </w:p>
    <w:p w14:paraId="64FDAD0A">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4、供应商应符合《中华人民共和国政府采购法》第二十二条第一款规定的条件并按《政府采购法实施条例》第十七条第一款规定提供相关证明材料。</w:t>
      </w:r>
    </w:p>
    <w:p w14:paraId="44305A41">
      <w:pPr>
        <w:pStyle w:val="3"/>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5、单位负责人为同一人或者存在直接控股、管理关系的不同供应商，不得参加同一合同项下（同一包号）的政府采购活动，否则投标均无效。</w:t>
      </w:r>
    </w:p>
    <w:p w14:paraId="45389476">
      <w:pPr>
        <w:pStyle w:val="3"/>
        <w:spacing w:line="400" w:lineRule="exact"/>
        <w:ind w:firstLine="454" w:firstLineChars="196"/>
        <w:rPr>
          <w:rFonts w:ascii="仿宋_GB2312" w:hAnsi="宋体" w:eastAsia="仿宋_GB2312"/>
          <w:b/>
          <w:color w:val="000000"/>
          <w:sz w:val="32"/>
          <w:szCs w:val="32"/>
        </w:rPr>
      </w:pPr>
      <w:r>
        <w:rPr>
          <w:rFonts w:hint="eastAsia" w:ascii="仿宋" w:hAnsi="仿宋" w:eastAsia="仿宋" w:cs="仿宋"/>
          <w:color w:val="FF0000"/>
          <w:sz w:val="24"/>
        </w:rPr>
        <w:t>6、详细内容见招标文件。</w:t>
      </w:r>
      <w:bookmarkStart w:id="15" w:name="_Toc464692184"/>
    </w:p>
    <w:p w14:paraId="3EB1D321">
      <w:pPr>
        <w:spacing w:line="500" w:lineRule="exact"/>
        <w:jc w:val="center"/>
        <w:outlineLvl w:val="0"/>
        <w:rPr>
          <w:rFonts w:ascii="仿宋_GB2312" w:hAnsi="宋体" w:eastAsia="仿宋_GB2312"/>
          <w:b/>
          <w:color w:val="000000"/>
          <w:sz w:val="32"/>
          <w:szCs w:val="32"/>
        </w:rPr>
      </w:pPr>
      <w:r>
        <w:rPr>
          <w:rFonts w:hint="eastAsia" w:ascii="仿宋_GB2312" w:hAnsi="宋体" w:eastAsia="仿宋_GB2312"/>
          <w:b/>
          <w:color w:val="000000"/>
          <w:sz w:val="32"/>
          <w:szCs w:val="32"/>
        </w:rPr>
        <w:t>第四章 磋商响应文件基本格式</w:t>
      </w:r>
      <w:bookmarkEnd w:id="15"/>
    </w:p>
    <w:p w14:paraId="3C3F7A33">
      <w:pPr>
        <w:spacing w:line="5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竞争性磋商响应文件</w:t>
      </w:r>
    </w:p>
    <w:p w14:paraId="3198B59D">
      <w:pPr>
        <w:spacing w:line="500" w:lineRule="exact"/>
        <w:jc w:val="center"/>
        <w:rPr>
          <w:rFonts w:ascii="仿宋_GB2312" w:hAnsi="宋体" w:eastAsia="仿宋_GB2312"/>
          <w:b/>
          <w:color w:val="000000"/>
          <w:sz w:val="32"/>
          <w:szCs w:val="32"/>
        </w:rPr>
      </w:pPr>
    </w:p>
    <w:p w14:paraId="1D520845">
      <w:pPr>
        <w:spacing w:line="500" w:lineRule="exact"/>
        <w:jc w:val="center"/>
        <w:rPr>
          <w:rFonts w:ascii="仿宋_GB2312" w:hAnsi="宋体" w:eastAsia="仿宋_GB2312"/>
          <w:b/>
          <w:color w:val="000000"/>
          <w:sz w:val="32"/>
          <w:szCs w:val="32"/>
        </w:rPr>
      </w:pPr>
    </w:p>
    <w:p w14:paraId="705003BD">
      <w:pPr>
        <w:spacing w:line="500" w:lineRule="exact"/>
        <w:jc w:val="center"/>
        <w:rPr>
          <w:rFonts w:ascii="仿宋_GB2312" w:hAnsi="宋体" w:eastAsia="仿宋_GB2312"/>
          <w:b/>
          <w:color w:val="000000"/>
          <w:sz w:val="32"/>
          <w:szCs w:val="32"/>
        </w:rPr>
      </w:pPr>
    </w:p>
    <w:p w14:paraId="785715D3">
      <w:pPr>
        <w:spacing w:line="500" w:lineRule="exact"/>
        <w:jc w:val="center"/>
        <w:rPr>
          <w:rFonts w:ascii="仿宋_GB2312" w:hAnsi="宋体" w:eastAsia="仿宋_GB2312"/>
          <w:b/>
          <w:color w:val="000000"/>
          <w:sz w:val="32"/>
          <w:szCs w:val="32"/>
        </w:rPr>
      </w:pPr>
    </w:p>
    <w:p w14:paraId="6349371E">
      <w:pPr>
        <w:spacing w:line="500" w:lineRule="exact"/>
        <w:jc w:val="center"/>
        <w:rPr>
          <w:rFonts w:ascii="仿宋_GB2312" w:hAnsi="宋体" w:eastAsia="仿宋_GB2312"/>
          <w:b/>
          <w:color w:val="000000"/>
          <w:sz w:val="32"/>
          <w:szCs w:val="32"/>
        </w:rPr>
      </w:pPr>
    </w:p>
    <w:p w14:paraId="0D937699">
      <w:pPr>
        <w:spacing w:line="500" w:lineRule="exact"/>
        <w:jc w:val="center"/>
        <w:rPr>
          <w:rFonts w:ascii="仿宋_GB2312" w:hAnsi="宋体" w:eastAsia="仿宋_GB2312"/>
          <w:b/>
          <w:color w:val="000000"/>
          <w:sz w:val="32"/>
          <w:szCs w:val="32"/>
        </w:rPr>
      </w:pPr>
    </w:p>
    <w:p w14:paraId="480E3CC3">
      <w:pPr>
        <w:spacing w:line="500" w:lineRule="exact"/>
        <w:jc w:val="center"/>
        <w:rPr>
          <w:rFonts w:ascii="仿宋_GB2312" w:hAnsi="宋体" w:eastAsia="仿宋_GB2312"/>
          <w:b/>
          <w:color w:val="000000"/>
          <w:sz w:val="32"/>
          <w:szCs w:val="32"/>
        </w:rPr>
      </w:pPr>
    </w:p>
    <w:p w14:paraId="3FBFC91C">
      <w:pPr>
        <w:spacing w:line="500" w:lineRule="exact"/>
        <w:jc w:val="center"/>
        <w:rPr>
          <w:rFonts w:ascii="仿宋_GB2312" w:hAnsi="宋体" w:eastAsia="仿宋_GB2312"/>
          <w:b/>
          <w:color w:val="000000"/>
          <w:sz w:val="32"/>
          <w:szCs w:val="32"/>
        </w:rPr>
      </w:pPr>
    </w:p>
    <w:p w14:paraId="14394563">
      <w:pPr>
        <w:spacing w:line="500" w:lineRule="exact"/>
        <w:jc w:val="center"/>
        <w:rPr>
          <w:rFonts w:ascii="仿宋_GB2312" w:hAnsi="宋体" w:eastAsia="仿宋_GB2312"/>
          <w:b/>
          <w:color w:val="000000"/>
          <w:sz w:val="32"/>
          <w:szCs w:val="32"/>
        </w:rPr>
      </w:pPr>
    </w:p>
    <w:p w14:paraId="32CEC7AD">
      <w:pPr>
        <w:spacing w:line="500" w:lineRule="exact"/>
        <w:jc w:val="center"/>
        <w:rPr>
          <w:rFonts w:ascii="仿宋_GB2312" w:hAnsi="宋体" w:eastAsia="仿宋_GB2312"/>
          <w:b/>
          <w:color w:val="000000"/>
          <w:sz w:val="32"/>
          <w:szCs w:val="32"/>
        </w:rPr>
      </w:pPr>
    </w:p>
    <w:p w14:paraId="14088E80">
      <w:pPr>
        <w:spacing w:line="500" w:lineRule="exact"/>
        <w:jc w:val="center"/>
        <w:rPr>
          <w:rFonts w:ascii="仿宋_GB2312" w:hAnsi="宋体" w:eastAsia="仿宋_GB2312"/>
          <w:b/>
          <w:color w:val="000000"/>
          <w:sz w:val="32"/>
          <w:szCs w:val="32"/>
        </w:rPr>
      </w:pPr>
    </w:p>
    <w:p w14:paraId="1A796C4E">
      <w:pPr>
        <w:spacing w:line="500" w:lineRule="exact"/>
        <w:jc w:val="center"/>
        <w:rPr>
          <w:rFonts w:ascii="仿宋_GB2312" w:hAnsi="宋体" w:eastAsia="仿宋_GB2312"/>
          <w:b/>
          <w:color w:val="000000"/>
          <w:sz w:val="32"/>
          <w:szCs w:val="32"/>
        </w:rPr>
      </w:pPr>
    </w:p>
    <w:p w14:paraId="47E83845">
      <w:pPr>
        <w:spacing w:line="500" w:lineRule="exact"/>
        <w:jc w:val="center"/>
        <w:rPr>
          <w:rFonts w:ascii="仿宋_GB2312" w:hAnsi="宋体" w:eastAsia="仿宋_GB2312"/>
          <w:b/>
          <w:color w:val="000000"/>
          <w:sz w:val="32"/>
          <w:szCs w:val="32"/>
        </w:rPr>
      </w:pPr>
    </w:p>
    <w:p w14:paraId="31805C71">
      <w:pPr>
        <w:spacing w:line="500" w:lineRule="exact"/>
        <w:jc w:val="center"/>
        <w:rPr>
          <w:rFonts w:ascii="仿宋_GB2312" w:hAnsi="宋体" w:eastAsia="仿宋_GB2312"/>
          <w:color w:val="000000"/>
          <w:sz w:val="28"/>
          <w:szCs w:val="28"/>
        </w:rPr>
      </w:pPr>
    </w:p>
    <w:p w14:paraId="385EC806">
      <w:pPr>
        <w:spacing w:line="500" w:lineRule="exact"/>
        <w:rPr>
          <w:rFonts w:ascii="仿宋_GB2312" w:hAnsi="宋体" w:eastAsia="仿宋_GB2312"/>
          <w:color w:val="000000"/>
          <w:sz w:val="28"/>
          <w:szCs w:val="28"/>
        </w:rPr>
      </w:pPr>
    </w:p>
    <w:p w14:paraId="448EBC87">
      <w:pPr>
        <w:spacing w:line="500" w:lineRule="exact"/>
        <w:rPr>
          <w:rFonts w:ascii="仿宋_GB2312" w:hAnsi="宋体" w:eastAsia="仿宋_GB2312"/>
          <w:color w:val="000000"/>
          <w:sz w:val="28"/>
          <w:szCs w:val="28"/>
        </w:rPr>
      </w:pPr>
    </w:p>
    <w:p w14:paraId="1B48A38A">
      <w:pPr>
        <w:spacing w:line="500" w:lineRule="exact"/>
        <w:rPr>
          <w:rFonts w:ascii="仿宋_GB2312" w:hAnsi="宋体" w:eastAsia="仿宋_GB2312"/>
          <w:color w:val="000000"/>
          <w:sz w:val="28"/>
          <w:szCs w:val="28"/>
        </w:rPr>
      </w:pPr>
    </w:p>
    <w:p w14:paraId="76648EDB">
      <w:pPr>
        <w:spacing w:line="500" w:lineRule="exact"/>
        <w:ind w:firstLine="560" w:firstLineChars="200"/>
        <w:rPr>
          <w:rFonts w:ascii="仿宋_GB2312" w:hAnsi="宋体" w:eastAsia="仿宋_GB2312"/>
          <w:color w:val="000000"/>
          <w:sz w:val="28"/>
          <w:szCs w:val="28"/>
          <w:u w:val="single"/>
        </w:rPr>
      </w:pPr>
      <w:r>
        <w:rPr>
          <w:rFonts w:hint="eastAsia" w:ascii="仿宋_GB2312" w:hAnsi="宋体" w:eastAsia="仿宋_GB2312"/>
          <w:color w:val="000000"/>
          <w:sz w:val="28"/>
          <w:szCs w:val="28"/>
        </w:rPr>
        <w:t>采购项目名称：</w:t>
      </w:r>
    </w:p>
    <w:p w14:paraId="065FB627">
      <w:pPr>
        <w:spacing w:line="500" w:lineRule="exact"/>
        <w:ind w:firstLine="560" w:firstLineChars="200"/>
        <w:rPr>
          <w:rFonts w:ascii="仿宋_GB2312" w:hAnsi="宋体" w:eastAsia="仿宋_GB2312"/>
          <w:color w:val="000000"/>
          <w:sz w:val="28"/>
          <w:szCs w:val="28"/>
          <w:u w:val="single"/>
        </w:rPr>
      </w:pPr>
      <w:r>
        <w:rPr>
          <w:rFonts w:hint="eastAsia" w:ascii="仿宋_GB2312" w:hAnsi="宋体" w:eastAsia="仿宋_GB2312"/>
          <w:color w:val="000000"/>
          <w:sz w:val="28"/>
          <w:szCs w:val="28"/>
        </w:rPr>
        <w:t>磋商内容：</w:t>
      </w:r>
    </w:p>
    <w:p w14:paraId="0D4B52E3">
      <w:pPr>
        <w:tabs>
          <w:tab w:val="left" w:pos="2625"/>
        </w:tabs>
        <w:spacing w:line="500" w:lineRule="exact"/>
        <w:jc w:val="center"/>
        <w:rPr>
          <w:rFonts w:ascii="仿宋_GB2312" w:hAnsi="宋体" w:eastAsia="仿宋_GB2312"/>
          <w:color w:val="000000"/>
          <w:sz w:val="28"/>
          <w:szCs w:val="28"/>
        </w:rPr>
      </w:pPr>
    </w:p>
    <w:p w14:paraId="535161C5">
      <w:pPr>
        <w:tabs>
          <w:tab w:val="left" w:pos="2625"/>
        </w:tabs>
        <w:spacing w:line="500" w:lineRule="exact"/>
        <w:jc w:val="center"/>
        <w:rPr>
          <w:rFonts w:ascii="仿宋_GB2312" w:hAnsi="宋体" w:eastAsia="仿宋_GB2312"/>
          <w:color w:val="000000"/>
          <w:sz w:val="28"/>
          <w:szCs w:val="28"/>
        </w:rPr>
      </w:pPr>
    </w:p>
    <w:p w14:paraId="25C3442C">
      <w:pPr>
        <w:spacing w:line="5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 xml:space="preserve">                                        （磋商供应商名称）</w:t>
      </w:r>
    </w:p>
    <w:p w14:paraId="38DD3CA5">
      <w:pPr>
        <w:spacing w:line="500" w:lineRule="exact"/>
        <w:ind w:firstLine="7000" w:firstLineChars="2500"/>
        <w:rPr>
          <w:rFonts w:ascii="仿宋_GB2312" w:hAnsi="宋体" w:eastAsia="仿宋_GB2312"/>
          <w:color w:val="000000"/>
          <w:sz w:val="28"/>
          <w:szCs w:val="28"/>
        </w:rPr>
      </w:pPr>
      <w:r>
        <w:rPr>
          <w:rFonts w:hint="eastAsia" w:ascii="仿宋_GB2312" w:hAnsi="宋体" w:eastAsia="仿宋_GB2312"/>
          <w:color w:val="000000"/>
          <w:sz w:val="28"/>
          <w:szCs w:val="28"/>
        </w:rPr>
        <w:t>年月    日</w:t>
      </w:r>
    </w:p>
    <w:p w14:paraId="1CC3B910">
      <w:pPr>
        <w:spacing w:line="320" w:lineRule="exact"/>
        <w:rPr>
          <w:rFonts w:ascii="仿宋_GB2312" w:hAnsi="宋体" w:eastAsia="仿宋_GB2312"/>
          <w:color w:val="000000"/>
          <w:szCs w:val="21"/>
        </w:rPr>
      </w:pPr>
    </w:p>
    <w:p w14:paraId="24BF267C">
      <w:pPr>
        <w:spacing w:line="320" w:lineRule="exact"/>
        <w:rPr>
          <w:rFonts w:ascii="仿宋_GB2312" w:hAnsi="宋体" w:eastAsia="仿宋_GB2312"/>
          <w:color w:val="000000"/>
          <w:szCs w:val="21"/>
        </w:rPr>
      </w:pPr>
    </w:p>
    <w:p w14:paraId="3EB5B9B6">
      <w:pPr>
        <w:pStyle w:val="2"/>
      </w:pPr>
    </w:p>
    <w:p w14:paraId="6493B4BA">
      <w:pPr>
        <w:pStyle w:val="2"/>
      </w:pPr>
    </w:p>
    <w:p w14:paraId="20FAAD94">
      <w:pPr>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一   磋商书（必须提供）；</w:t>
      </w:r>
    </w:p>
    <w:p w14:paraId="646369D0">
      <w:pPr>
        <w:spacing w:line="52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磋   商   书</w:t>
      </w:r>
    </w:p>
    <w:p w14:paraId="598D341B">
      <w:pPr>
        <w:pStyle w:val="4"/>
        <w:spacing w:line="520" w:lineRule="exact"/>
        <w:rPr>
          <w:rFonts w:ascii="仿宋_GB2312" w:hAnsi="宋体" w:eastAsia="仿宋_GB2312"/>
          <w:color w:val="000000"/>
          <w:sz w:val="24"/>
          <w:szCs w:val="24"/>
        </w:rPr>
      </w:pPr>
      <w:r>
        <w:rPr>
          <w:rFonts w:hint="eastAsia" w:ascii="仿宋_GB2312" w:hAnsi="宋体" w:eastAsia="仿宋_GB2312"/>
          <w:color w:val="000000"/>
          <w:sz w:val="24"/>
          <w:szCs w:val="24"/>
          <w:u w:val="single"/>
        </w:rPr>
        <w:t xml:space="preserve"> 南宁市第一人民医院</w:t>
      </w:r>
      <w:r>
        <w:rPr>
          <w:rFonts w:hint="eastAsia" w:ascii="仿宋_GB2312" w:hAnsi="宋体" w:eastAsia="仿宋_GB2312"/>
          <w:color w:val="000000"/>
          <w:sz w:val="24"/>
          <w:szCs w:val="24"/>
        </w:rPr>
        <w:t>：</w:t>
      </w:r>
    </w:p>
    <w:p w14:paraId="2086E194">
      <w:pPr>
        <w:pStyle w:val="4"/>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依据贵方</w:t>
      </w:r>
      <w:r>
        <w:rPr>
          <w:rFonts w:hint="eastAsia" w:ascii="仿宋_GB2312" w:hAnsi="宋体" w:eastAsia="仿宋_GB2312"/>
          <w:color w:val="000000"/>
          <w:sz w:val="24"/>
          <w:szCs w:val="24"/>
          <w:u w:val="single"/>
        </w:rPr>
        <w:t>[       采购      ]</w:t>
      </w:r>
      <w:r>
        <w:rPr>
          <w:rFonts w:hint="eastAsia" w:ascii="仿宋_GB2312" w:hAnsi="宋体" w:eastAsia="仿宋_GB2312"/>
          <w:color w:val="000000"/>
          <w:sz w:val="24"/>
          <w:szCs w:val="24"/>
        </w:rPr>
        <w:t>项目采购的磋商邀请，我方</w:t>
      </w:r>
      <w:r>
        <w:rPr>
          <w:rFonts w:hint="eastAsia" w:ascii="仿宋_GB2312" w:hAnsi="宋体" w:eastAsia="仿宋_GB2312"/>
          <w:color w:val="000000"/>
          <w:sz w:val="24"/>
          <w:szCs w:val="24"/>
          <w:u w:val="single"/>
        </w:rPr>
        <w:t>（姓名和职务）</w:t>
      </w:r>
      <w:r>
        <w:rPr>
          <w:rFonts w:hint="eastAsia" w:ascii="仿宋_GB2312" w:hAnsi="宋体" w:eastAsia="仿宋_GB2312"/>
          <w:color w:val="000000"/>
          <w:sz w:val="24"/>
          <w:szCs w:val="24"/>
        </w:rPr>
        <w:t>经正式授权并代表磋商供应商</w:t>
      </w:r>
      <w:r>
        <w:rPr>
          <w:rFonts w:hint="eastAsia" w:ascii="仿宋_GB2312" w:hAnsi="宋体" w:eastAsia="仿宋_GB2312"/>
          <w:color w:val="000000"/>
          <w:sz w:val="24"/>
          <w:szCs w:val="24"/>
          <w:u w:val="single"/>
        </w:rPr>
        <w:t>（磋商供应商名称、地址）</w:t>
      </w:r>
      <w:r>
        <w:rPr>
          <w:rFonts w:hint="eastAsia" w:ascii="仿宋_GB2312" w:hAnsi="宋体" w:eastAsia="仿宋_GB2312"/>
          <w:color w:val="000000"/>
          <w:sz w:val="24"/>
          <w:szCs w:val="24"/>
        </w:rPr>
        <w:t>提交下述竞争性磋商响应文件价格文件、技术服务文件正本一份和副本</w:t>
      </w:r>
      <w:r>
        <w:rPr>
          <w:rFonts w:hint="eastAsia" w:ascii="仿宋_GB2312" w:hAnsi="宋体" w:eastAsia="仿宋_GB2312"/>
          <w:color w:val="000000"/>
          <w:sz w:val="24"/>
          <w:szCs w:val="24"/>
          <w:u w:val="single"/>
        </w:rPr>
        <w:t>三</w:t>
      </w:r>
      <w:r>
        <w:rPr>
          <w:rFonts w:hint="eastAsia" w:ascii="仿宋_GB2312" w:hAnsi="宋体" w:eastAsia="仿宋_GB2312"/>
          <w:color w:val="000000"/>
          <w:sz w:val="24"/>
          <w:szCs w:val="24"/>
        </w:rPr>
        <w:t>份。</w:t>
      </w:r>
    </w:p>
    <w:p w14:paraId="209B0C4E">
      <w:pPr>
        <w:pStyle w:val="4"/>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1. 报价表；</w:t>
      </w:r>
    </w:p>
    <w:p w14:paraId="561617D7">
      <w:pPr>
        <w:pStyle w:val="4"/>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2.  按竞争性磋商文件磋商须知和采购项目技术规范及要求</w:t>
      </w:r>
      <w:r>
        <w:rPr>
          <w:rFonts w:hint="eastAsia" w:ascii="仿宋_GB2312" w:hAnsi="宋体" w:eastAsia="仿宋_GB2312"/>
          <w:color w:val="000000"/>
          <w:sz w:val="24"/>
        </w:rPr>
        <w:t>所需</w:t>
      </w:r>
      <w:r>
        <w:rPr>
          <w:rFonts w:hint="eastAsia" w:ascii="仿宋_GB2312" w:hAnsi="宋体" w:eastAsia="仿宋_GB2312"/>
          <w:color w:val="000000"/>
          <w:sz w:val="24"/>
          <w:szCs w:val="24"/>
        </w:rPr>
        <w:t>提供的有关文件；</w:t>
      </w:r>
    </w:p>
    <w:p w14:paraId="694749C7">
      <w:pPr>
        <w:pStyle w:val="4"/>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3. 资格证明文件；</w:t>
      </w:r>
    </w:p>
    <w:p w14:paraId="49639EDE">
      <w:pPr>
        <w:pStyle w:val="4"/>
        <w:spacing w:line="520" w:lineRule="exact"/>
        <w:rPr>
          <w:rFonts w:ascii="仿宋_GB2312" w:hAnsi="宋体" w:eastAsia="仿宋_GB2312"/>
          <w:color w:val="000000"/>
          <w:sz w:val="24"/>
          <w:szCs w:val="24"/>
        </w:rPr>
      </w:pPr>
      <w:r>
        <w:rPr>
          <w:rFonts w:hint="eastAsia" w:ascii="仿宋_GB2312" w:hAnsi="宋体" w:eastAsia="仿宋_GB2312"/>
          <w:color w:val="000000"/>
          <w:sz w:val="24"/>
          <w:szCs w:val="24"/>
        </w:rPr>
        <w:t>在此，授权代表宣布同意如下：</w:t>
      </w:r>
    </w:p>
    <w:p w14:paraId="574D0470">
      <w:pPr>
        <w:pStyle w:val="4"/>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1. 将按竞争性磋商文件的约定履行合同责任和义务；</w:t>
      </w:r>
    </w:p>
    <w:p w14:paraId="5D0CE417">
      <w:pPr>
        <w:pStyle w:val="4"/>
        <w:spacing w:line="520" w:lineRule="exact"/>
        <w:ind w:left="840" w:hanging="360"/>
        <w:rPr>
          <w:rFonts w:ascii="仿宋_GB2312" w:hAnsi="宋体" w:eastAsia="仿宋_GB2312"/>
          <w:color w:val="000000"/>
          <w:sz w:val="24"/>
          <w:szCs w:val="24"/>
        </w:rPr>
      </w:pPr>
      <w:r>
        <w:rPr>
          <w:rFonts w:hint="eastAsia" w:ascii="仿宋_GB2312" w:hAnsi="宋体" w:eastAsia="仿宋_GB2312"/>
          <w:color w:val="000000"/>
          <w:sz w:val="24"/>
          <w:szCs w:val="24"/>
        </w:rPr>
        <w:t>2. 已详细审查全部竞争性磋商文件，我们完全理解并同意放弃对这方面有不明及误解的权力；</w:t>
      </w:r>
    </w:p>
    <w:p w14:paraId="085478C3">
      <w:pPr>
        <w:pStyle w:val="4"/>
        <w:spacing w:line="520" w:lineRule="exact"/>
        <w:ind w:left="840" w:hanging="360"/>
        <w:rPr>
          <w:rFonts w:ascii="仿宋_GB2312" w:hAnsi="宋体" w:eastAsia="仿宋_GB2312"/>
          <w:color w:val="000000"/>
          <w:sz w:val="24"/>
          <w:szCs w:val="24"/>
        </w:rPr>
      </w:pPr>
      <w:r>
        <w:rPr>
          <w:rFonts w:hint="eastAsia" w:ascii="仿宋_GB2312" w:hAnsi="宋体" w:eastAsia="仿宋_GB2312"/>
          <w:color w:val="000000"/>
          <w:sz w:val="24"/>
          <w:szCs w:val="24"/>
        </w:rPr>
        <w:t>3. 同意提供按照贵方可能要求的与其磋商有关的一切数据或资料；</w:t>
      </w:r>
    </w:p>
    <w:p w14:paraId="01F94698">
      <w:pPr>
        <w:pStyle w:val="4"/>
        <w:spacing w:line="520" w:lineRule="exact"/>
        <w:ind w:firstLine="480"/>
        <w:rPr>
          <w:rFonts w:ascii="仿宋_GB2312" w:hAnsi="宋体" w:eastAsia="仿宋_GB2312"/>
          <w:color w:val="000000"/>
          <w:sz w:val="24"/>
          <w:szCs w:val="24"/>
          <w:u w:val="single"/>
        </w:rPr>
      </w:pPr>
      <w:r>
        <w:rPr>
          <w:rFonts w:hint="eastAsia" w:ascii="仿宋_GB2312" w:hAnsi="宋体" w:eastAsia="仿宋_GB2312"/>
          <w:color w:val="000000"/>
          <w:sz w:val="24"/>
          <w:szCs w:val="24"/>
        </w:rPr>
        <w:t>4. 与本磋商有关的一切正式往来信函请寄：</w:t>
      </w:r>
    </w:p>
    <w:p w14:paraId="4C09D1CB">
      <w:pPr>
        <w:pStyle w:val="4"/>
        <w:spacing w:line="520" w:lineRule="exact"/>
        <w:ind w:firstLine="840"/>
        <w:rPr>
          <w:rFonts w:ascii="仿宋_GB2312" w:hAnsi="宋体" w:eastAsia="仿宋_GB2312"/>
          <w:color w:val="000000"/>
          <w:sz w:val="24"/>
          <w:szCs w:val="24"/>
        </w:rPr>
      </w:pPr>
      <w:r>
        <w:rPr>
          <w:rFonts w:hint="eastAsia" w:ascii="仿宋_GB2312" w:hAnsi="宋体" w:eastAsia="仿宋_GB2312"/>
          <w:color w:val="000000"/>
          <w:sz w:val="24"/>
          <w:szCs w:val="24"/>
        </w:rPr>
        <w:t>电话/传真： 电子函件：</w:t>
      </w:r>
    </w:p>
    <w:p w14:paraId="0EFDD69F">
      <w:pPr>
        <w:pStyle w:val="4"/>
        <w:spacing w:line="520" w:lineRule="exact"/>
        <w:ind w:firstLine="840"/>
        <w:rPr>
          <w:rFonts w:ascii="仿宋_GB2312" w:hAnsi="宋体" w:eastAsia="仿宋_GB2312"/>
          <w:color w:val="000000"/>
          <w:sz w:val="24"/>
          <w:szCs w:val="24"/>
          <w:u w:val="single"/>
        </w:rPr>
      </w:pPr>
      <w:r>
        <w:rPr>
          <w:rFonts w:hint="eastAsia" w:ascii="仿宋_GB2312" w:hAnsi="宋体" w:eastAsia="仿宋_GB2312"/>
          <w:color w:val="000000"/>
          <w:sz w:val="24"/>
          <w:szCs w:val="24"/>
        </w:rPr>
        <w:t>日期：年月日</w:t>
      </w:r>
    </w:p>
    <w:p w14:paraId="423EA825">
      <w:pPr>
        <w:pStyle w:val="4"/>
        <w:spacing w:line="520" w:lineRule="exact"/>
        <w:ind w:firstLine="840"/>
        <w:rPr>
          <w:rFonts w:ascii="仿宋_GB2312" w:hAnsi="宋体" w:eastAsia="仿宋_GB2312"/>
          <w:color w:val="000000"/>
          <w:sz w:val="24"/>
          <w:szCs w:val="24"/>
          <w:u w:val="single"/>
        </w:rPr>
      </w:pPr>
      <w:r>
        <w:rPr>
          <w:rFonts w:hint="eastAsia" w:ascii="仿宋_GB2312" w:hAnsi="宋体" w:eastAsia="仿宋_GB2312"/>
          <w:color w:val="000000"/>
          <w:sz w:val="24"/>
          <w:szCs w:val="24"/>
        </w:rPr>
        <w:t>法定代表人或法定代表人授权代表签字：</w:t>
      </w:r>
    </w:p>
    <w:p w14:paraId="120D4A97">
      <w:pPr>
        <w:pStyle w:val="4"/>
        <w:spacing w:line="520" w:lineRule="exact"/>
        <w:ind w:firstLine="840"/>
        <w:rPr>
          <w:rFonts w:ascii="仿宋_GB2312" w:hAnsi="宋体" w:eastAsia="仿宋_GB2312"/>
          <w:color w:val="000000"/>
          <w:sz w:val="24"/>
          <w:szCs w:val="24"/>
        </w:rPr>
      </w:pPr>
      <w:r>
        <w:rPr>
          <w:rFonts w:hint="eastAsia" w:ascii="仿宋_GB2312" w:hAnsi="宋体" w:eastAsia="仿宋_GB2312"/>
          <w:color w:val="000000"/>
          <w:sz w:val="24"/>
          <w:szCs w:val="24"/>
        </w:rPr>
        <w:t>磋商供应商名称（盖章）：</w:t>
      </w:r>
    </w:p>
    <w:p w14:paraId="7A6BBBC6">
      <w:pPr>
        <w:spacing w:line="400" w:lineRule="exact"/>
        <w:ind w:firstLine="840" w:firstLineChars="350"/>
        <w:rPr>
          <w:rFonts w:ascii="仿宋_GB2312" w:hAnsi="宋体" w:eastAsia="仿宋_GB2312"/>
          <w:color w:val="000000"/>
          <w:sz w:val="24"/>
        </w:rPr>
      </w:pPr>
      <w:r>
        <w:rPr>
          <w:rFonts w:hint="eastAsia" w:ascii="仿宋_GB2312" w:hAnsi="宋体" w:eastAsia="仿宋_GB2312"/>
          <w:color w:val="000000"/>
          <w:sz w:val="24"/>
        </w:rPr>
        <w:t>开户银行：</w:t>
      </w:r>
    </w:p>
    <w:p w14:paraId="07AB62AC">
      <w:pPr>
        <w:spacing w:line="400" w:lineRule="exact"/>
        <w:ind w:firstLine="840" w:firstLineChars="350"/>
        <w:rPr>
          <w:rFonts w:ascii="仿宋_GB2312" w:hAnsi="宋体" w:eastAsia="仿宋_GB2312"/>
          <w:color w:val="000000"/>
          <w:sz w:val="24"/>
        </w:rPr>
      </w:pPr>
      <w:r>
        <w:rPr>
          <w:rFonts w:hint="eastAsia" w:ascii="仿宋_GB2312" w:hAnsi="宋体" w:eastAsia="仿宋_GB2312"/>
          <w:color w:val="000000"/>
          <w:sz w:val="24"/>
        </w:rPr>
        <w:t>帐号/行号：</w:t>
      </w:r>
    </w:p>
    <w:p w14:paraId="73500D11">
      <w:pPr>
        <w:spacing w:line="400" w:lineRule="exact"/>
        <w:ind w:firstLine="840" w:firstLineChars="350"/>
        <w:rPr>
          <w:rFonts w:ascii="仿宋_GB2312" w:hAnsi="宋体" w:eastAsia="仿宋_GB2312"/>
          <w:color w:val="000000"/>
          <w:sz w:val="24"/>
        </w:rPr>
      </w:pPr>
    </w:p>
    <w:p w14:paraId="37ADFFAF">
      <w:pPr>
        <w:spacing w:line="400" w:lineRule="exact"/>
        <w:ind w:firstLine="840" w:firstLineChars="350"/>
        <w:rPr>
          <w:rFonts w:ascii="仿宋_GB2312" w:hAnsi="宋体" w:eastAsia="仿宋_GB2312"/>
          <w:color w:val="000000"/>
          <w:sz w:val="24"/>
        </w:rPr>
      </w:pPr>
    </w:p>
    <w:p w14:paraId="63CB8291">
      <w:pPr>
        <w:spacing w:line="400" w:lineRule="exact"/>
        <w:ind w:firstLine="840" w:firstLineChars="350"/>
        <w:rPr>
          <w:rFonts w:ascii="仿宋_GB2312" w:hAnsi="宋体" w:eastAsia="仿宋_GB2312"/>
          <w:color w:val="000000"/>
          <w:sz w:val="24"/>
        </w:rPr>
      </w:pPr>
    </w:p>
    <w:p w14:paraId="766F7AB3">
      <w:pPr>
        <w:spacing w:line="400" w:lineRule="exact"/>
        <w:ind w:firstLine="840" w:firstLineChars="350"/>
        <w:rPr>
          <w:rFonts w:ascii="仿宋_GB2312" w:hAnsi="宋体" w:eastAsia="仿宋_GB2312"/>
          <w:color w:val="000000"/>
          <w:sz w:val="24"/>
        </w:rPr>
      </w:pPr>
    </w:p>
    <w:p w14:paraId="3D878198">
      <w:pPr>
        <w:spacing w:line="400" w:lineRule="exact"/>
        <w:ind w:firstLine="840" w:firstLineChars="350"/>
        <w:rPr>
          <w:rFonts w:ascii="仿宋_GB2312" w:hAnsi="宋体" w:eastAsia="仿宋_GB2312"/>
          <w:color w:val="000000"/>
          <w:sz w:val="24"/>
        </w:rPr>
      </w:pPr>
    </w:p>
    <w:p w14:paraId="433DD8C9">
      <w:pPr>
        <w:spacing w:line="400" w:lineRule="exact"/>
        <w:ind w:firstLine="840" w:firstLineChars="350"/>
        <w:rPr>
          <w:rFonts w:ascii="仿宋_GB2312" w:hAnsi="宋体" w:eastAsia="仿宋_GB2312"/>
          <w:color w:val="000000"/>
          <w:sz w:val="24"/>
        </w:rPr>
      </w:pPr>
    </w:p>
    <w:p w14:paraId="2878FB78">
      <w:pPr>
        <w:spacing w:line="400" w:lineRule="exact"/>
        <w:ind w:firstLine="840" w:firstLineChars="350"/>
        <w:rPr>
          <w:rFonts w:ascii="仿宋_GB2312" w:hAnsi="宋体" w:eastAsia="仿宋_GB2312"/>
          <w:color w:val="000000"/>
          <w:sz w:val="24"/>
        </w:rPr>
      </w:pPr>
    </w:p>
    <w:p w14:paraId="531FFBD5">
      <w:pPr>
        <w:spacing w:line="500" w:lineRule="exact"/>
        <w:jc w:val="left"/>
        <w:rPr>
          <w:rFonts w:ascii="仿宋_GB2312" w:hAnsi="宋体" w:eastAsia="仿宋_GB2312"/>
          <w:color w:val="000000"/>
          <w:sz w:val="28"/>
          <w:szCs w:val="28"/>
        </w:rPr>
      </w:pPr>
      <w:r>
        <w:rPr>
          <w:rFonts w:hint="eastAsia" w:ascii="仿宋_GB2312" w:hAnsi="宋体" w:eastAsia="仿宋_GB2312"/>
          <w:color w:val="000000"/>
          <w:sz w:val="28"/>
          <w:szCs w:val="28"/>
        </w:rPr>
        <w:t>二   磋商报价表（必须提供）</w:t>
      </w:r>
    </w:p>
    <w:p w14:paraId="6465F135">
      <w:pPr>
        <w:spacing w:line="5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磋商报价表</w:t>
      </w:r>
    </w:p>
    <w:p w14:paraId="2F3E3258">
      <w:pPr>
        <w:spacing w:line="500" w:lineRule="exact"/>
        <w:rPr>
          <w:rFonts w:ascii="仿宋_GB2312" w:hAnsi="仿宋" w:eastAsia="仿宋_GB2312"/>
          <w:color w:val="000000"/>
          <w:sz w:val="24"/>
        </w:rPr>
      </w:pPr>
    </w:p>
    <w:p w14:paraId="38C54A60">
      <w:pPr>
        <w:spacing w:line="500" w:lineRule="exact"/>
        <w:rPr>
          <w:rFonts w:ascii="仿宋_GB2312" w:hAnsi="仿宋" w:eastAsia="仿宋_GB2312"/>
          <w:color w:val="000000"/>
          <w:sz w:val="24"/>
        </w:rPr>
      </w:pPr>
      <w:r>
        <w:rPr>
          <w:rFonts w:hint="eastAsia" w:ascii="仿宋_GB2312" w:hAnsi="仿宋" w:eastAsia="仿宋_GB2312"/>
          <w:color w:val="000000"/>
          <w:sz w:val="24"/>
        </w:rPr>
        <w:t>采购项目名称:</w:t>
      </w:r>
    </w:p>
    <w:p w14:paraId="4D493A7D">
      <w:pPr>
        <w:spacing w:line="500" w:lineRule="exact"/>
        <w:rPr>
          <w:rFonts w:ascii="仿宋_GB2312" w:hAnsi="仿宋" w:eastAsia="仿宋_GB2312"/>
          <w:color w:val="000000"/>
          <w:sz w:val="24"/>
        </w:rPr>
      </w:pPr>
      <w:r>
        <w:rPr>
          <w:rFonts w:hint="eastAsia" w:ascii="仿宋_GB2312" w:hAnsi="仿宋" w:eastAsia="仿宋_GB2312"/>
          <w:color w:val="000000"/>
          <w:sz w:val="24"/>
        </w:rPr>
        <w:t>采购项目金额：</w:t>
      </w:r>
    </w:p>
    <w:p w14:paraId="2DBBAEE5">
      <w:pPr>
        <w:pStyle w:val="4"/>
        <w:spacing w:line="520" w:lineRule="exact"/>
        <w:rPr>
          <w:rFonts w:ascii="仿宋_GB2312" w:hAnsi="仿宋" w:eastAsia="仿宋_GB2312"/>
          <w:color w:val="000000"/>
          <w:sz w:val="24"/>
          <w:szCs w:val="24"/>
        </w:rPr>
      </w:pPr>
    </w:p>
    <w:p w14:paraId="2D692AA2">
      <w:pPr>
        <w:pStyle w:val="4"/>
        <w:spacing w:line="520" w:lineRule="exact"/>
        <w:rPr>
          <w:rFonts w:ascii="仿宋_GB2312" w:hAnsi="仿宋" w:eastAsia="仿宋_GB2312"/>
          <w:color w:val="000000"/>
          <w:sz w:val="24"/>
          <w:szCs w:val="24"/>
        </w:rPr>
      </w:pPr>
    </w:p>
    <w:p w14:paraId="76CC24F3">
      <w:pPr>
        <w:pStyle w:val="4"/>
        <w:spacing w:line="520" w:lineRule="exact"/>
        <w:rPr>
          <w:rFonts w:ascii="仿宋_GB2312" w:hAnsi="仿宋" w:eastAsia="仿宋_GB2312"/>
          <w:color w:val="000000"/>
          <w:sz w:val="24"/>
          <w:szCs w:val="24"/>
        </w:rPr>
      </w:pPr>
    </w:p>
    <w:p w14:paraId="176947CF">
      <w:pPr>
        <w:pStyle w:val="4"/>
        <w:spacing w:line="520" w:lineRule="exact"/>
        <w:rPr>
          <w:rFonts w:ascii="仿宋_GB2312" w:hAnsi="仿宋" w:eastAsia="仿宋_GB2312"/>
          <w:color w:val="000000"/>
          <w:sz w:val="24"/>
          <w:szCs w:val="24"/>
          <w:u w:val="single"/>
        </w:rPr>
      </w:pPr>
      <w:r>
        <w:rPr>
          <w:rFonts w:hint="eastAsia" w:ascii="仿宋_GB2312" w:hAnsi="仿宋" w:eastAsia="仿宋_GB2312"/>
          <w:color w:val="000000"/>
          <w:sz w:val="24"/>
          <w:szCs w:val="24"/>
        </w:rPr>
        <w:t>法定代表人或法定代表人授权代表签字：</w:t>
      </w:r>
    </w:p>
    <w:p w14:paraId="11DDEF45">
      <w:pPr>
        <w:pStyle w:val="4"/>
        <w:rPr>
          <w:rFonts w:ascii="仿宋_GB2312" w:hAnsi="仿宋" w:eastAsia="仿宋_GB2312"/>
          <w:color w:val="000000"/>
          <w:sz w:val="24"/>
          <w:szCs w:val="24"/>
          <w:u w:val="single"/>
        </w:rPr>
      </w:pPr>
      <w:r>
        <w:rPr>
          <w:rFonts w:hint="eastAsia" w:ascii="仿宋_GB2312" w:hAnsi="仿宋" w:eastAsia="仿宋_GB2312"/>
          <w:color w:val="000000"/>
          <w:sz w:val="24"/>
          <w:szCs w:val="24"/>
        </w:rPr>
        <w:t>磋商供应商名称（盖章）：</w:t>
      </w:r>
    </w:p>
    <w:p w14:paraId="52BD75AF">
      <w:pPr>
        <w:spacing w:line="400" w:lineRule="exact"/>
        <w:rPr>
          <w:rFonts w:ascii="仿宋_GB2312" w:hAnsi="宋体" w:eastAsia="仿宋_GB2312"/>
          <w:color w:val="000000"/>
          <w:sz w:val="24"/>
        </w:rPr>
      </w:pPr>
      <w:r>
        <w:rPr>
          <w:rFonts w:hint="eastAsia" w:ascii="仿宋_GB2312" w:hAnsi="仿宋" w:eastAsia="仿宋_GB2312"/>
          <w:color w:val="000000"/>
          <w:sz w:val="24"/>
        </w:rPr>
        <w:t>日   期：</w:t>
      </w:r>
    </w:p>
    <w:p w14:paraId="1B0C0C3C">
      <w:pPr>
        <w:rPr>
          <w:color w:val="000000"/>
        </w:rPr>
      </w:pPr>
    </w:p>
    <w:p w14:paraId="774811AA">
      <w:pPr>
        <w:rPr>
          <w:color w:val="000000"/>
        </w:rPr>
      </w:pPr>
    </w:p>
    <w:p w14:paraId="33A82880">
      <w:pPr>
        <w:rPr>
          <w:color w:val="000000"/>
        </w:rPr>
      </w:pPr>
    </w:p>
    <w:p w14:paraId="1D8B7794">
      <w:pPr>
        <w:rPr>
          <w:color w:val="000000"/>
        </w:rPr>
      </w:pPr>
    </w:p>
    <w:p w14:paraId="5E815E86">
      <w:pPr>
        <w:rPr>
          <w:color w:val="000000"/>
        </w:rPr>
      </w:pPr>
    </w:p>
    <w:p w14:paraId="455652FA">
      <w:pPr>
        <w:rPr>
          <w:color w:val="000000"/>
        </w:rPr>
      </w:pPr>
    </w:p>
    <w:p w14:paraId="078CDEF6">
      <w:pPr>
        <w:rPr>
          <w:color w:val="000000"/>
        </w:rPr>
      </w:pPr>
    </w:p>
    <w:p w14:paraId="3EF9248D">
      <w:pPr>
        <w:rPr>
          <w:color w:val="000000"/>
        </w:rPr>
      </w:pPr>
    </w:p>
    <w:p w14:paraId="35DCEF4A">
      <w:pPr>
        <w:rPr>
          <w:color w:val="000000"/>
        </w:rPr>
      </w:pPr>
    </w:p>
    <w:p w14:paraId="2D115EAC">
      <w:pPr>
        <w:rPr>
          <w:color w:val="000000"/>
        </w:rPr>
      </w:pPr>
    </w:p>
    <w:p w14:paraId="4BC15324">
      <w:pPr>
        <w:rPr>
          <w:color w:val="000000"/>
        </w:rPr>
      </w:pPr>
    </w:p>
    <w:p w14:paraId="65B96410">
      <w:pPr>
        <w:rPr>
          <w:color w:val="000000"/>
        </w:rPr>
      </w:pPr>
    </w:p>
    <w:p w14:paraId="1C18E592">
      <w:pPr>
        <w:rPr>
          <w:color w:val="000000"/>
        </w:rPr>
      </w:pPr>
    </w:p>
    <w:p w14:paraId="70AE27DE">
      <w:pPr>
        <w:rPr>
          <w:color w:val="000000"/>
        </w:rPr>
      </w:pPr>
    </w:p>
    <w:p w14:paraId="4D47688E">
      <w:pPr>
        <w:rPr>
          <w:color w:val="000000"/>
        </w:rPr>
      </w:pPr>
    </w:p>
    <w:p w14:paraId="17DA6A3C">
      <w:pPr>
        <w:rPr>
          <w:color w:val="000000"/>
        </w:rPr>
      </w:pPr>
    </w:p>
    <w:p w14:paraId="5F2BCCF7">
      <w:pPr>
        <w:rPr>
          <w:color w:val="000000"/>
        </w:rPr>
      </w:pPr>
    </w:p>
    <w:p w14:paraId="15D1FFB6">
      <w:pPr>
        <w:rPr>
          <w:color w:val="000000"/>
        </w:rPr>
      </w:pPr>
    </w:p>
    <w:p w14:paraId="7A734F94">
      <w:pPr>
        <w:rPr>
          <w:color w:val="000000"/>
        </w:rPr>
      </w:pPr>
    </w:p>
    <w:p w14:paraId="33792ADB">
      <w:pPr>
        <w:rPr>
          <w:color w:val="000000"/>
        </w:rPr>
      </w:pPr>
    </w:p>
    <w:p w14:paraId="7F18C8B7">
      <w:pPr>
        <w:rPr>
          <w:color w:val="000000"/>
        </w:rPr>
      </w:pPr>
    </w:p>
    <w:p w14:paraId="247033A7">
      <w:pPr>
        <w:rPr>
          <w:color w:val="000000"/>
        </w:rPr>
      </w:pPr>
    </w:p>
    <w:p w14:paraId="0AE0A7D6">
      <w:pPr>
        <w:rPr>
          <w:color w:val="000000"/>
        </w:rPr>
      </w:pPr>
    </w:p>
    <w:p w14:paraId="034B5A06">
      <w:pPr>
        <w:rPr>
          <w:color w:val="000000"/>
        </w:rPr>
      </w:pPr>
    </w:p>
    <w:p w14:paraId="49CDEA6E">
      <w:pPr>
        <w:rPr>
          <w:color w:val="000000"/>
        </w:rPr>
      </w:pPr>
    </w:p>
    <w:p w14:paraId="668E3857">
      <w:pPr>
        <w:rPr>
          <w:color w:val="000000"/>
        </w:rPr>
      </w:pPr>
    </w:p>
    <w:p w14:paraId="0AF0B359">
      <w:pPr>
        <w:rPr>
          <w:color w:val="000000"/>
        </w:rPr>
      </w:pPr>
    </w:p>
    <w:p w14:paraId="4DE0E1D2">
      <w:pPr>
        <w:adjustRightInd w:val="0"/>
        <w:snapToGrid w:val="0"/>
        <w:spacing w:line="300" w:lineRule="auto"/>
        <w:ind w:firstLine="3534" w:firstLineChars="1100"/>
        <w:rPr>
          <w:rFonts w:ascii="仿宋_GB2312" w:hAnsi="宋体" w:eastAsia="仿宋_GB2312"/>
          <w:b/>
          <w:color w:val="000000"/>
          <w:sz w:val="32"/>
          <w:szCs w:val="32"/>
        </w:rPr>
      </w:pPr>
      <w:r>
        <w:rPr>
          <w:rFonts w:hint="eastAsia" w:ascii="仿宋_GB2312" w:hAnsi="宋体" w:eastAsia="仿宋_GB2312"/>
          <w:b/>
          <w:color w:val="000000"/>
          <w:sz w:val="32"/>
          <w:szCs w:val="32"/>
        </w:rPr>
        <w:t>法定代表人授权书</w:t>
      </w:r>
    </w:p>
    <w:p w14:paraId="54298558">
      <w:pPr>
        <w:spacing w:line="520" w:lineRule="exact"/>
        <w:rPr>
          <w:rFonts w:ascii="仿宋_GB2312" w:hAnsi="宋体" w:eastAsia="仿宋_GB2312"/>
          <w:color w:val="000000"/>
          <w:sz w:val="24"/>
        </w:rPr>
      </w:pPr>
      <w:r>
        <w:rPr>
          <w:rFonts w:hint="eastAsia" w:ascii="仿宋_GB2312" w:hAnsi="宋体" w:eastAsia="仿宋_GB2312"/>
          <w:color w:val="000000"/>
          <w:sz w:val="24"/>
          <w:u w:val="single"/>
        </w:rPr>
        <w:t>南宁市第一人民医院</w:t>
      </w:r>
      <w:r>
        <w:rPr>
          <w:rFonts w:hint="eastAsia" w:ascii="仿宋_GB2312" w:hAnsi="宋体" w:eastAsia="仿宋_GB2312"/>
          <w:color w:val="000000"/>
          <w:sz w:val="24"/>
        </w:rPr>
        <w:t>：</w:t>
      </w:r>
    </w:p>
    <w:p w14:paraId="0EEC757E">
      <w:pPr>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兹授权同志为我公司参加贵单位组织的</w:t>
      </w:r>
      <w:r>
        <w:rPr>
          <w:rFonts w:hint="eastAsia" w:ascii="仿宋_GB2312" w:hAnsi="宋体" w:eastAsia="仿宋_GB2312"/>
          <w:color w:val="000000"/>
          <w:sz w:val="24"/>
          <w:u w:val="single"/>
        </w:rPr>
        <w:t>（项    目    名   称）</w:t>
      </w:r>
      <w:r>
        <w:rPr>
          <w:rFonts w:hint="eastAsia" w:ascii="仿宋_GB2312" w:hAnsi="宋体" w:eastAsia="仿宋_GB2312"/>
          <w:color w:val="000000"/>
          <w:sz w:val="24"/>
        </w:rPr>
        <w:t xml:space="preserve">采购活动的竞标代表人，全权代表我公司处理在该项目活动中的一切事宜。代理期限从年月日起至年月日止。 </w:t>
      </w:r>
    </w:p>
    <w:p w14:paraId="5A381B10">
      <w:pPr>
        <w:spacing w:line="520" w:lineRule="exact"/>
        <w:rPr>
          <w:rFonts w:ascii="仿宋_GB2312" w:hAnsi="宋体" w:eastAsia="仿宋_GB2312"/>
          <w:color w:val="000000"/>
          <w:sz w:val="24"/>
        </w:rPr>
      </w:pPr>
      <w:r>
        <w:rPr>
          <w:rFonts w:hint="eastAsia" w:ascii="仿宋_GB2312" w:hAnsi="宋体" w:eastAsia="仿宋_GB2312"/>
          <w:color w:val="000000"/>
          <w:sz w:val="24"/>
        </w:rPr>
        <w:t>授权单位（签章）：</w:t>
      </w:r>
    </w:p>
    <w:p w14:paraId="47B9FF70">
      <w:pPr>
        <w:spacing w:line="520" w:lineRule="exact"/>
        <w:rPr>
          <w:rFonts w:ascii="仿宋_GB2312" w:hAnsi="宋体" w:eastAsia="仿宋_GB2312"/>
          <w:color w:val="000000"/>
          <w:sz w:val="24"/>
        </w:rPr>
      </w:pPr>
      <w:r>
        <w:rPr>
          <w:rFonts w:hint="eastAsia" w:ascii="仿宋_GB2312" w:hAnsi="宋体" w:eastAsia="仿宋_GB2312"/>
          <w:color w:val="000000"/>
          <w:sz w:val="24"/>
        </w:rPr>
        <w:t>法定代表人（签字或盖章）：</w:t>
      </w:r>
    </w:p>
    <w:p w14:paraId="0E93BC64">
      <w:pPr>
        <w:spacing w:line="520" w:lineRule="exact"/>
        <w:rPr>
          <w:rFonts w:ascii="仿宋_GB2312" w:hAnsi="宋体" w:eastAsia="仿宋_GB2312"/>
          <w:color w:val="000000"/>
          <w:sz w:val="24"/>
        </w:rPr>
      </w:pPr>
      <w:r>
        <w:rPr>
          <w:rFonts w:hint="eastAsia" w:ascii="仿宋_GB2312" w:hAnsi="宋体" w:eastAsia="仿宋_GB2312"/>
          <w:color w:val="000000"/>
          <w:sz w:val="24"/>
        </w:rPr>
        <w:t>签发日期：年月日</w:t>
      </w:r>
    </w:p>
    <w:p w14:paraId="45CCB3B4">
      <w:pPr>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附：代理人工作单位：</w:t>
      </w:r>
    </w:p>
    <w:p w14:paraId="456CACA4">
      <w:pPr>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职务：      性别：</w:t>
      </w:r>
    </w:p>
    <w:p w14:paraId="2184EA21">
      <w:pPr>
        <w:adjustRightInd w:val="0"/>
        <w:snapToGrid w:val="0"/>
        <w:spacing w:line="520" w:lineRule="exact"/>
        <w:ind w:firstLine="480" w:firstLineChars="200"/>
        <w:rPr>
          <w:rFonts w:ascii="仿宋_GB2312" w:hAnsi="宋体" w:eastAsia="仿宋_GB2312"/>
          <w:color w:val="000000"/>
          <w:sz w:val="24"/>
          <w:u w:val="single"/>
        </w:rPr>
      </w:pPr>
      <w:r>
        <w:rPr>
          <w:rFonts w:hint="eastAsia" w:ascii="仿宋_GB2312" w:hAnsi="宋体" w:eastAsia="仿宋_GB2312"/>
          <w:color w:val="000000"/>
          <w:sz w:val="24"/>
        </w:rPr>
        <w:t>身份证号码：</w:t>
      </w:r>
    </w:p>
    <w:tbl>
      <w:tblPr>
        <w:tblStyle w:val="9"/>
        <w:tblW w:w="978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14:paraId="16BA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7" w:hRule="atLeast"/>
        </w:trPr>
        <w:tc>
          <w:tcPr>
            <w:tcW w:w="9780" w:type="dxa"/>
            <w:noWrap/>
          </w:tcPr>
          <w:p w14:paraId="7EE9D893">
            <w:pPr>
              <w:spacing w:line="300" w:lineRule="auto"/>
              <w:rPr>
                <w:rFonts w:ascii="仿宋_GB2312" w:hAnsi="宋体" w:eastAsia="仿宋_GB2312"/>
                <w:color w:val="000000"/>
                <w:sz w:val="24"/>
              </w:rPr>
            </w:pPr>
            <w:r>
              <w:rPr>
                <w:rFonts w:hint="eastAsia" w:ascii="仿宋_GB2312" w:hAnsi="宋体" w:eastAsia="仿宋_GB2312"/>
                <w:color w:val="000000"/>
                <w:sz w:val="24"/>
              </w:rPr>
              <w:t>被授权人身份证（复印件）粘贴处</w:t>
            </w:r>
          </w:p>
        </w:tc>
      </w:tr>
    </w:tbl>
    <w:p w14:paraId="4AF074C6">
      <w:pPr>
        <w:spacing w:line="300" w:lineRule="auto"/>
        <w:ind w:firstLine="562" w:firstLineChars="200"/>
        <w:rPr>
          <w:rFonts w:ascii="仿宋_GB2312" w:hAnsi="宋体" w:eastAsia="仿宋_GB2312"/>
          <w:b/>
          <w:bCs/>
          <w:color w:val="000000"/>
          <w:sz w:val="28"/>
          <w:szCs w:val="28"/>
        </w:rPr>
      </w:pPr>
    </w:p>
    <w:p w14:paraId="639EB3B6">
      <w:pPr>
        <w:spacing w:line="300" w:lineRule="auto"/>
        <w:ind w:firstLine="562" w:firstLineChars="200"/>
        <w:rPr>
          <w:rFonts w:ascii="仿宋_GB2312" w:hAnsi="宋体" w:eastAsia="仿宋_GB2312"/>
          <w:b/>
          <w:bCs/>
          <w:color w:val="000000"/>
          <w:sz w:val="28"/>
          <w:szCs w:val="28"/>
        </w:rPr>
      </w:pPr>
    </w:p>
    <w:p w14:paraId="207D01D3">
      <w:pPr>
        <w:spacing w:line="300" w:lineRule="auto"/>
        <w:ind w:firstLine="562" w:firstLineChars="200"/>
        <w:rPr>
          <w:rFonts w:ascii="仿宋_GB2312" w:hAnsi="宋体" w:eastAsia="仿宋_GB2312"/>
          <w:b/>
          <w:bCs/>
          <w:color w:val="000000"/>
          <w:sz w:val="28"/>
          <w:szCs w:val="28"/>
        </w:rPr>
      </w:pPr>
    </w:p>
    <w:p w14:paraId="698B3469">
      <w:pPr>
        <w:spacing w:line="300" w:lineRule="auto"/>
        <w:ind w:firstLine="562" w:firstLineChars="200"/>
        <w:rPr>
          <w:rFonts w:ascii="仿宋_GB2312" w:hAnsi="宋体" w:eastAsia="仿宋_GB2312"/>
          <w:b/>
          <w:bCs/>
          <w:color w:val="000000"/>
          <w:sz w:val="28"/>
          <w:szCs w:val="28"/>
        </w:rPr>
      </w:pPr>
    </w:p>
    <w:p w14:paraId="3B56A3ED">
      <w:pPr>
        <w:spacing w:line="300" w:lineRule="auto"/>
        <w:ind w:firstLine="562" w:firstLineChars="200"/>
        <w:rPr>
          <w:rFonts w:ascii="仿宋_GB2312" w:hAnsi="宋体" w:eastAsia="仿宋_GB2312"/>
          <w:b/>
          <w:bCs/>
          <w:color w:val="000000"/>
          <w:sz w:val="28"/>
          <w:szCs w:val="28"/>
        </w:rPr>
      </w:pPr>
    </w:p>
    <w:p w14:paraId="686A98BC">
      <w:pPr>
        <w:pStyle w:val="2"/>
      </w:pPr>
    </w:p>
    <w:p w14:paraId="4953A451">
      <w:pPr>
        <w:pStyle w:val="2"/>
      </w:pPr>
    </w:p>
    <w:p w14:paraId="7F6849EE">
      <w:pPr>
        <w:pStyle w:val="2"/>
      </w:pPr>
    </w:p>
    <w:p w14:paraId="2807A2ED">
      <w:pPr>
        <w:spacing w:line="300" w:lineRule="auto"/>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九  在经营活动中没有重大违法记录，没有不良信用记录。供应商可在“信用中国”网站（www.creditchina.gov.cn）、中国政府采购网（www.ccgp.gov.cn）查询相关供应商主体信用记录，同时须将查询结果截图在竞标文件中提交。（必须提供）</w:t>
      </w:r>
    </w:p>
    <w:p w14:paraId="5B7F893B">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十     其他有效证明文件的复印件。</w:t>
      </w:r>
    </w:p>
    <w:p w14:paraId="65664E10">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十一   磋商供应商的服务方案（必须提供，格式自拟）</w:t>
      </w:r>
    </w:p>
    <w:p w14:paraId="15B2CAE8">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十二   磋商供应商认为需要提供的其他有关资料。</w:t>
      </w:r>
    </w:p>
    <w:p w14:paraId="3498948B">
      <w:pPr>
        <w:spacing w:line="400" w:lineRule="exact"/>
        <w:jc w:val="center"/>
        <w:rPr>
          <w:rFonts w:ascii="黑体" w:hAnsi="黑体" w:eastAsia="黑体" w:cs="黑体"/>
          <w:b/>
          <w:bCs/>
          <w:color w:val="3E3E3E"/>
          <w:sz w:val="32"/>
          <w:szCs w:val="32"/>
        </w:rPr>
      </w:pPr>
      <w:r>
        <w:rPr>
          <w:rFonts w:hint="eastAsia" w:ascii="仿宋_GB2312" w:hAnsi="宋体" w:eastAsia="仿宋_GB2312"/>
          <w:color w:val="000000"/>
          <w:sz w:val="28"/>
          <w:szCs w:val="28"/>
        </w:rPr>
        <w:br w:type="page"/>
      </w:r>
      <w:r>
        <w:rPr>
          <w:rFonts w:hint="eastAsia" w:ascii="黑体" w:hAnsi="黑体" w:eastAsia="黑体" w:cs="黑体"/>
          <w:b/>
          <w:bCs/>
          <w:color w:val="3E3E3E"/>
          <w:sz w:val="32"/>
          <w:szCs w:val="32"/>
        </w:rPr>
        <w:t>南宁市第一人民医院区级继续教育《移动互联网时代医院</w:t>
      </w:r>
    </w:p>
    <w:p w14:paraId="402620EF">
      <w:pPr>
        <w:spacing w:line="400" w:lineRule="exact"/>
        <w:jc w:val="center"/>
        <w:rPr>
          <w:rFonts w:ascii="黑体" w:hAnsi="黑体" w:eastAsia="黑体" w:cs="黑体"/>
          <w:b/>
          <w:bCs/>
          <w:color w:val="3E3E3E"/>
          <w:sz w:val="32"/>
          <w:szCs w:val="32"/>
        </w:rPr>
      </w:pPr>
      <w:r>
        <w:rPr>
          <w:rFonts w:hint="eastAsia" w:ascii="黑体" w:hAnsi="黑体" w:eastAsia="黑体" w:cs="黑体"/>
          <w:b/>
          <w:bCs/>
          <w:color w:val="3E3E3E"/>
          <w:sz w:val="32"/>
          <w:szCs w:val="32"/>
        </w:rPr>
        <w:t>文化建设》项目合同</w:t>
      </w:r>
    </w:p>
    <w:p w14:paraId="4987B445">
      <w:pPr>
        <w:snapToGrid w:val="0"/>
        <w:spacing w:line="360" w:lineRule="auto"/>
        <w:jc w:val="left"/>
        <w:rPr>
          <w:rFonts w:ascii="宋体" w:hAnsi="宋体"/>
          <w:sz w:val="24"/>
        </w:rPr>
      </w:pPr>
    </w:p>
    <w:p w14:paraId="22F891A2">
      <w:pPr>
        <w:snapToGrid w:val="0"/>
        <w:spacing w:line="360" w:lineRule="auto"/>
        <w:jc w:val="left"/>
        <w:rPr>
          <w:rFonts w:ascii="宋体" w:hAnsi="宋体"/>
          <w:sz w:val="24"/>
        </w:rPr>
      </w:pPr>
    </w:p>
    <w:p w14:paraId="1FA9A92E">
      <w:pPr>
        <w:snapToGrid w:val="0"/>
        <w:spacing w:line="360" w:lineRule="auto"/>
        <w:jc w:val="left"/>
        <w:rPr>
          <w:rFonts w:ascii="宋体" w:hAnsi="宋体"/>
          <w:sz w:val="24"/>
          <w:u w:val="single"/>
        </w:rPr>
      </w:pPr>
      <w:r>
        <w:rPr>
          <w:rFonts w:hint="eastAsia" w:ascii="宋体" w:hAnsi="宋体"/>
          <w:sz w:val="24"/>
        </w:rPr>
        <w:t>合同编号</w:t>
      </w:r>
      <w:r>
        <w:rPr>
          <w:rFonts w:hint="eastAsia" w:ascii="宋体" w:hAnsi="宋体"/>
          <w:sz w:val="24"/>
          <w:u w:val="single"/>
        </w:rPr>
        <w:t xml:space="preserve">：                   </w:t>
      </w:r>
    </w:p>
    <w:p w14:paraId="2A8D1FA0">
      <w:pPr>
        <w:snapToGrid w:val="0"/>
        <w:spacing w:line="360" w:lineRule="auto"/>
        <w:jc w:val="left"/>
        <w:rPr>
          <w:rFonts w:ascii="宋体" w:hAnsi="宋体"/>
          <w:sz w:val="24"/>
        </w:rPr>
      </w:pPr>
      <w:r>
        <w:rPr>
          <w:rFonts w:hint="eastAsia" w:ascii="宋体" w:hAnsi="宋体"/>
          <w:sz w:val="24"/>
        </w:rPr>
        <w:t>采购单位（甲方）</w:t>
      </w:r>
      <w:r>
        <w:rPr>
          <w:rFonts w:hint="eastAsia" w:ascii="宋体" w:hAnsi="宋体"/>
          <w:sz w:val="24"/>
          <w:u w:val="single"/>
        </w:rPr>
        <w:t>：南宁市第一人民医院</w:t>
      </w:r>
    </w:p>
    <w:p w14:paraId="5813EC00">
      <w:pPr>
        <w:snapToGrid w:val="0"/>
        <w:spacing w:line="360" w:lineRule="auto"/>
        <w:jc w:val="left"/>
        <w:rPr>
          <w:rFonts w:ascii="宋体" w:hAnsi="宋体"/>
          <w:sz w:val="24"/>
        </w:rPr>
      </w:pPr>
      <w:r>
        <w:rPr>
          <w:rFonts w:hint="eastAsia" w:ascii="宋体" w:hAnsi="宋体"/>
          <w:sz w:val="24"/>
        </w:rPr>
        <w:t>制作方（乙方）</w:t>
      </w:r>
      <w:r>
        <w:rPr>
          <w:rFonts w:hint="eastAsia" w:ascii="宋体" w:hAnsi="宋体"/>
          <w:sz w:val="24"/>
          <w:u w:val="single"/>
        </w:rPr>
        <w:t xml:space="preserve">：                   </w:t>
      </w:r>
    </w:p>
    <w:p w14:paraId="2AAF9341">
      <w:pPr>
        <w:snapToGrid w:val="0"/>
        <w:spacing w:line="360" w:lineRule="auto"/>
        <w:ind w:firstLine="480" w:firstLineChars="200"/>
        <w:jc w:val="left"/>
        <w:rPr>
          <w:rFonts w:ascii="宋体" w:hAnsi="宋体"/>
          <w:sz w:val="24"/>
        </w:rPr>
      </w:pPr>
    </w:p>
    <w:p w14:paraId="09844CBE">
      <w:pPr>
        <w:snapToGrid w:val="0"/>
        <w:spacing w:line="360" w:lineRule="auto"/>
        <w:ind w:firstLine="480" w:firstLineChars="200"/>
        <w:jc w:val="left"/>
        <w:rPr>
          <w:rFonts w:ascii="宋体" w:hAnsi="宋体"/>
          <w:sz w:val="24"/>
        </w:rPr>
      </w:pPr>
      <w:r>
        <w:rPr>
          <w:rFonts w:hint="eastAsia" w:ascii="宋体" w:hAnsi="宋体"/>
          <w:sz w:val="24"/>
        </w:rPr>
        <w:t>甲、乙双方经友好协商，本着平等互利、等价有偿、公平合理、诚实信用的原则，根据中华人民共和国有关法律、法规，就甲方委托乙方</w:t>
      </w:r>
      <w:r>
        <w:rPr>
          <w:rFonts w:hint="eastAsia" w:ascii="宋体" w:hAnsi="宋体"/>
          <w:sz w:val="24"/>
          <w:lang w:eastAsia="zh-CN"/>
        </w:rPr>
        <w:t>举办区级继续教育《移动互联网时代医院文化建设》</w:t>
      </w:r>
      <w:r>
        <w:rPr>
          <w:rFonts w:hint="eastAsia" w:ascii="宋体" w:hAnsi="宋体"/>
          <w:sz w:val="24"/>
        </w:rPr>
        <w:t>一事达成以下协议：</w:t>
      </w:r>
    </w:p>
    <w:p w14:paraId="4E3ABF14">
      <w:pPr>
        <w:snapToGrid w:val="0"/>
        <w:spacing w:line="360" w:lineRule="auto"/>
        <w:ind w:firstLine="482" w:firstLineChars="200"/>
        <w:jc w:val="left"/>
        <w:rPr>
          <w:rFonts w:ascii="宋体" w:hAnsi="宋体"/>
          <w:b/>
          <w:bCs/>
          <w:sz w:val="24"/>
        </w:rPr>
      </w:pPr>
      <w:r>
        <w:rPr>
          <w:rFonts w:hint="eastAsia" w:ascii="宋体" w:hAnsi="宋体"/>
          <w:b/>
          <w:bCs/>
          <w:sz w:val="24"/>
        </w:rPr>
        <w:t>一、采购内容</w:t>
      </w:r>
    </w:p>
    <w:p w14:paraId="0DFF56E4">
      <w:pPr>
        <w:pStyle w:val="3"/>
        <w:spacing w:line="400" w:lineRule="exact"/>
        <w:ind w:firstLine="470" w:firstLineChars="196"/>
        <w:rPr>
          <w:rFonts w:hAnsi="宋体"/>
          <w:spacing w:val="0"/>
          <w:sz w:val="24"/>
          <w:szCs w:val="24"/>
        </w:rPr>
      </w:pPr>
      <w:r>
        <w:rPr>
          <w:rFonts w:hint="eastAsia" w:hAnsi="宋体"/>
          <w:spacing w:val="0"/>
          <w:sz w:val="24"/>
          <w:szCs w:val="24"/>
        </w:rPr>
        <w:t>1、我院区级继续教育《移动互联网时代医院文化建设》项目需寻找一家合作办会单位。</w:t>
      </w:r>
    </w:p>
    <w:p w14:paraId="489EC11E">
      <w:pPr>
        <w:pStyle w:val="3"/>
        <w:spacing w:line="400" w:lineRule="exact"/>
        <w:ind w:firstLine="470" w:firstLineChars="196"/>
        <w:rPr>
          <w:rFonts w:hAnsi="宋体"/>
          <w:spacing w:val="0"/>
          <w:sz w:val="24"/>
          <w:szCs w:val="24"/>
        </w:rPr>
      </w:pPr>
      <w:r>
        <w:rPr>
          <w:rFonts w:hint="eastAsia" w:hAnsi="宋体"/>
          <w:spacing w:val="0"/>
          <w:sz w:val="24"/>
          <w:szCs w:val="24"/>
        </w:rPr>
        <w:t>2、要求：投标文件满足以下参数要求。</w:t>
      </w:r>
    </w:p>
    <w:tbl>
      <w:tblPr>
        <w:tblStyle w:val="9"/>
        <w:tblW w:w="10500" w:type="dxa"/>
        <w:tblInd w:w="0" w:type="dxa"/>
        <w:tblLayout w:type="autofit"/>
        <w:tblCellMar>
          <w:top w:w="0" w:type="dxa"/>
          <w:left w:w="0" w:type="dxa"/>
          <w:bottom w:w="0" w:type="dxa"/>
          <w:right w:w="0" w:type="dxa"/>
        </w:tblCellMar>
      </w:tblPr>
      <w:tblGrid>
        <w:gridCol w:w="688"/>
        <w:gridCol w:w="3035"/>
        <w:gridCol w:w="6777"/>
      </w:tblGrid>
      <w:tr w14:paraId="0CC756C0">
        <w:tblPrEx>
          <w:tblCellMar>
            <w:top w:w="0" w:type="dxa"/>
            <w:left w:w="0" w:type="dxa"/>
            <w:bottom w:w="0" w:type="dxa"/>
            <w:right w:w="0" w:type="dxa"/>
          </w:tblCellMar>
        </w:tblPrEx>
        <w:trPr>
          <w:trHeight w:val="855" w:hRule="atLeast"/>
        </w:trPr>
        <w:tc>
          <w:tcPr>
            <w:tcW w:w="6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D0EEA9">
            <w:pPr>
              <w:jc w:val="center"/>
              <w:rPr>
                <w:rFonts w:ascii="仿宋" w:hAnsi="仿宋" w:eastAsia="仿宋" w:cs="仿宋"/>
                <w:color w:val="000000"/>
                <w:sz w:val="24"/>
              </w:rPr>
            </w:pPr>
            <w:r>
              <w:rPr>
                <w:rFonts w:hint="eastAsia" w:ascii="仿宋" w:hAnsi="仿宋" w:eastAsia="仿宋" w:cs="仿宋"/>
                <w:color w:val="000000"/>
                <w:sz w:val="24"/>
              </w:rPr>
              <w:t>序号</w:t>
            </w:r>
          </w:p>
        </w:tc>
        <w:tc>
          <w:tcPr>
            <w:tcW w:w="3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CC54E1">
            <w:pPr>
              <w:jc w:val="center"/>
              <w:rPr>
                <w:rFonts w:ascii="仿宋" w:hAnsi="仿宋" w:eastAsia="仿宋" w:cs="仿宋"/>
                <w:color w:val="000000"/>
                <w:sz w:val="24"/>
              </w:rPr>
            </w:pPr>
            <w:r>
              <w:rPr>
                <w:rFonts w:hint="eastAsia" w:ascii="仿宋" w:hAnsi="仿宋" w:eastAsia="仿宋" w:cs="仿宋"/>
                <w:color w:val="000000"/>
                <w:sz w:val="24"/>
              </w:rPr>
              <w:t>培训内容</w:t>
            </w:r>
          </w:p>
        </w:tc>
        <w:tc>
          <w:tcPr>
            <w:tcW w:w="67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E87D81">
            <w:pPr>
              <w:jc w:val="center"/>
              <w:rPr>
                <w:rFonts w:ascii="仿宋" w:hAnsi="仿宋" w:eastAsia="仿宋" w:cs="仿宋"/>
                <w:color w:val="000000"/>
                <w:sz w:val="24"/>
              </w:rPr>
            </w:pPr>
            <w:r>
              <w:rPr>
                <w:rFonts w:hint="eastAsia" w:ascii="仿宋" w:hAnsi="仿宋" w:eastAsia="仿宋" w:cs="仿宋"/>
                <w:color w:val="000000"/>
                <w:sz w:val="24"/>
              </w:rPr>
              <w:t>讲师要求</w:t>
            </w:r>
          </w:p>
        </w:tc>
      </w:tr>
      <w:tr w14:paraId="1EE5DC18">
        <w:tblPrEx>
          <w:tblCellMar>
            <w:top w:w="0" w:type="dxa"/>
            <w:left w:w="0" w:type="dxa"/>
            <w:bottom w:w="0" w:type="dxa"/>
            <w:right w:w="0" w:type="dxa"/>
          </w:tblCellMar>
        </w:tblPrEx>
        <w:trPr>
          <w:trHeight w:val="855" w:hRule="atLeast"/>
        </w:trPr>
        <w:tc>
          <w:tcPr>
            <w:tcW w:w="6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EB34A6">
            <w:pPr>
              <w:jc w:val="center"/>
              <w:rPr>
                <w:rFonts w:ascii="仿宋" w:hAnsi="仿宋" w:eastAsia="仿宋" w:cs="仿宋"/>
                <w:color w:val="000000"/>
                <w:sz w:val="24"/>
              </w:rPr>
            </w:pPr>
            <w:r>
              <w:rPr>
                <w:rFonts w:hint="eastAsia" w:ascii="仿宋" w:hAnsi="仿宋" w:eastAsia="仿宋" w:cs="仿宋"/>
                <w:color w:val="000000"/>
                <w:sz w:val="24"/>
              </w:rPr>
              <w:t>1</w:t>
            </w:r>
          </w:p>
        </w:tc>
        <w:tc>
          <w:tcPr>
            <w:tcW w:w="3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C13470">
            <w:pPr>
              <w:ind w:firstLine="480" w:firstLineChars="200"/>
              <w:rPr>
                <w:rFonts w:ascii="仿宋" w:hAnsi="仿宋" w:eastAsia="仿宋" w:cs="仿宋"/>
                <w:color w:val="000000"/>
                <w:sz w:val="24"/>
              </w:rPr>
            </w:pPr>
            <w:r>
              <w:rPr>
                <w:rFonts w:hint="eastAsia" w:ascii="仿宋" w:hAnsi="仿宋" w:eastAsia="仿宋" w:cs="仿宋"/>
                <w:color w:val="000000"/>
                <w:sz w:val="24"/>
              </w:rPr>
              <w:t>主题为《医院文化与医院管理》，主要讲解医院文化与医院管理的关系以及医院文化建设对医院管理的作用。</w:t>
            </w:r>
          </w:p>
        </w:tc>
        <w:tc>
          <w:tcPr>
            <w:tcW w:w="67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3DB304">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博士生学历，省级以上三甲医院主要领导，省级医院管理研究所副所长级别以上。</w:t>
            </w:r>
          </w:p>
        </w:tc>
      </w:tr>
      <w:tr w14:paraId="0C76719E">
        <w:tblPrEx>
          <w:tblCellMar>
            <w:top w:w="0" w:type="dxa"/>
            <w:left w:w="0" w:type="dxa"/>
            <w:bottom w:w="0" w:type="dxa"/>
            <w:right w:w="0" w:type="dxa"/>
          </w:tblCellMar>
        </w:tblPrEx>
        <w:trPr>
          <w:trHeight w:val="855" w:hRule="atLeast"/>
        </w:trPr>
        <w:tc>
          <w:tcPr>
            <w:tcW w:w="6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97D988">
            <w:pPr>
              <w:jc w:val="center"/>
              <w:rPr>
                <w:rFonts w:ascii="仿宋" w:hAnsi="仿宋" w:eastAsia="仿宋" w:cs="仿宋"/>
                <w:color w:val="000000"/>
                <w:sz w:val="24"/>
              </w:rPr>
            </w:pPr>
            <w:r>
              <w:rPr>
                <w:rFonts w:hint="eastAsia" w:ascii="仿宋" w:hAnsi="仿宋" w:eastAsia="仿宋" w:cs="仿宋"/>
                <w:color w:val="000000"/>
                <w:sz w:val="24"/>
              </w:rPr>
              <w:t>2</w:t>
            </w:r>
          </w:p>
        </w:tc>
        <w:tc>
          <w:tcPr>
            <w:tcW w:w="3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4DB2CB">
            <w:pPr>
              <w:ind w:firstLine="480" w:firstLineChars="200"/>
              <w:rPr>
                <w:rFonts w:ascii="仿宋" w:hAnsi="仿宋" w:eastAsia="仿宋" w:cs="仿宋"/>
                <w:color w:val="000000"/>
                <w:sz w:val="24"/>
              </w:rPr>
            </w:pPr>
            <w:r>
              <w:rPr>
                <w:rFonts w:hint="eastAsia" w:ascii="仿宋" w:hAnsi="仿宋" w:eastAsia="仿宋" w:cs="仿宋"/>
                <w:color w:val="000000"/>
                <w:sz w:val="24"/>
              </w:rPr>
              <w:t>主题为《党建引领，文化兴盛》，主要讲述如何开展医院党建工作，以党建引领医院文化建设，以文化搭建平台，将党建与文化建设有机融合。</w:t>
            </w:r>
          </w:p>
        </w:tc>
        <w:tc>
          <w:tcPr>
            <w:tcW w:w="67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2086AC">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市级以上三甲医院主要领导，具备省级医院协会等部门工作经验。</w:t>
            </w:r>
          </w:p>
        </w:tc>
      </w:tr>
      <w:tr w14:paraId="782DDC7A">
        <w:tblPrEx>
          <w:tblCellMar>
            <w:top w:w="0" w:type="dxa"/>
            <w:left w:w="0" w:type="dxa"/>
            <w:bottom w:w="0" w:type="dxa"/>
            <w:right w:w="0" w:type="dxa"/>
          </w:tblCellMar>
        </w:tblPrEx>
        <w:trPr>
          <w:trHeight w:val="855" w:hRule="atLeast"/>
        </w:trPr>
        <w:tc>
          <w:tcPr>
            <w:tcW w:w="6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C11745">
            <w:pPr>
              <w:jc w:val="center"/>
              <w:rPr>
                <w:rFonts w:ascii="仿宋" w:hAnsi="仿宋" w:eastAsia="仿宋" w:cs="仿宋"/>
                <w:color w:val="000000"/>
                <w:sz w:val="24"/>
              </w:rPr>
            </w:pPr>
            <w:r>
              <w:rPr>
                <w:rFonts w:hint="eastAsia" w:ascii="仿宋" w:hAnsi="仿宋" w:eastAsia="仿宋" w:cs="仿宋"/>
                <w:color w:val="000000"/>
                <w:sz w:val="24"/>
              </w:rPr>
              <w:t>3</w:t>
            </w:r>
          </w:p>
        </w:tc>
        <w:tc>
          <w:tcPr>
            <w:tcW w:w="3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1509B6">
            <w:pPr>
              <w:ind w:firstLine="480" w:firstLineChars="200"/>
              <w:rPr>
                <w:rFonts w:ascii="仿宋" w:hAnsi="仿宋" w:eastAsia="仿宋" w:cs="仿宋"/>
                <w:color w:val="000000"/>
                <w:sz w:val="24"/>
              </w:rPr>
            </w:pPr>
            <w:r>
              <w:rPr>
                <w:rFonts w:hint="eastAsia" w:ascii="仿宋" w:hAnsi="仿宋" w:eastAsia="仿宋" w:cs="仿宋"/>
                <w:color w:val="000000"/>
                <w:sz w:val="24"/>
              </w:rPr>
              <w:t>主题为《百年老院的文化传承与创新》，主要介绍南宁市第一人民医院建院以来不同时期的医院文化建设情况，着重介绍新时期医院发展目标以及文化建设的传承与创新。</w:t>
            </w:r>
          </w:p>
        </w:tc>
        <w:tc>
          <w:tcPr>
            <w:tcW w:w="67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4F328">
            <w:pPr>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市级以上三甲医院主要领导</w:t>
            </w:r>
          </w:p>
        </w:tc>
      </w:tr>
      <w:tr w14:paraId="696318C2">
        <w:tblPrEx>
          <w:tblCellMar>
            <w:top w:w="0" w:type="dxa"/>
            <w:left w:w="0" w:type="dxa"/>
            <w:bottom w:w="0" w:type="dxa"/>
            <w:right w:w="0" w:type="dxa"/>
          </w:tblCellMar>
        </w:tblPrEx>
        <w:trPr>
          <w:trHeight w:val="855" w:hRule="atLeast"/>
        </w:trPr>
        <w:tc>
          <w:tcPr>
            <w:tcW w:w="6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E492A">
            <w:pPr>
              <w:jc w:val="center"/>
              <w:rPr>
                <w:rFonts w:ascii="仿宋" w:hAnsi="仿宋" w:eastAsia="仿宋" w:cs="仿宋"/>
                <w:color w:val="000000"/>
                <w:sz w:val="24"/>
              </w:rPr>
            </w:pPr>
            <w:r>
              <w:rPr>
                <w:rFonts w:hint="eastAsia" w:ascii="仿宋" w:hAnsi="仿宋" w:eastAsia="仿宋" w:cs="仿宋"/>
                <w:color w:val="000000"/>
                <w:sz w:val="24"/>
              </w:rPr>
              <w:t>4</w:t>
            </w:r>
          </w:p>
        </w:tc>
        <w:tc>
          <w:tcPr>
            <w:tcW w:w="3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802E6F">
            <w:pPr>
              <w:ind w:firstLine="480" w:firstLineChars="200"/>
              <w:rPr>
                <w:rFonts w:ascii="仿宋" w:hAnsi="仿宋" w:eastAsia="仿宋" w:cs="仿宋"/>
                <w:color w:val="000000"/>
                <w:sz w:val="24"/>
              </w:rPr>
            </w:pPr>
            <w:r>
              <w:rPr>
                <w:rFonts w:hint="eastAsia" w:ascii="仿宋" w:hAnsi="仿宋" w:eastAsia="仿宋" w:cs="仿宋"/>
                <w:color w:val="000000"/>
                <w:sz w:val="24"/>
              </w:rPr>
              <w:t>主题为《移动互联网时代的医院文化建设》，主要讲授移动互联网时代的特征、移动互联网时代医院文化建设的特点。</w:t>
            </w:r>
          </w:p>
        </w:tc>
        <w:tc>
          <w:tcPr>
            <w:tcW w:w="67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8345B">
            <w:pPr>
              <w:jc w:val="center"/>
              <w:rPr>
                <w:rFonts w:ascii="仿宋" w:hAnsi="仿宋" w:eastAsia="仿宋" w:cs="仿宋"/>
                <w:color w:val="000000"/>
                <w:sz w:val="24"/>
              </w:rPr>
            </w:pPr>
            <w:r>
              <w:rPr>
                <w:rFonts w:hint="eastAsia" w:ascii="仿宋" w:hAnsi="仿宋" w:eastAsia="仿宋" w:cs="仿宋"/>
                <w:color w:val="000000"/>
                <w:sz w:val="24"/>
              </w:rPr>
              <w:t>“双一流”重点大学相关专业研究院教授</w:t>
            </w:r>
          </w:p>
        </w:tc>
      </w:tr>
      <w:tr w14:paraId="1A4A44E0">
        <w:tblPrEx>
          <w:tblCellMar>
            <w:top w:w="0" w:type="dxa"/>
            <w:left w:w="0" w:type="dxa"/>
            <w:bottom w:w="0" w:type="dxa"/>
            <w:right w:w="0" w:type="dxa"/>
          </w:tblCellMar>
        </w:tblPrEx>
        <w:trPr>
          <w:trHeight w:val="855" w:hRule="atLeast"/>
        </w:trPr>
        <w:tc>
          <w:tcPr>
            <w:tcW w:w="6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0D094">
            <w:pPr>
              <w:jc w:val="center"/>
              <w:rPr>
                <w:rFonts w:ascii="仿宋" w:hAnsi="仿宋" w:eastAsia="仿宋" w:cs="仿宋"/>
                <w:color w:val="000000"/>
                <w:sz w:val="24"/>
              </w:rPr>
            </w:pPr>
            <w:r>
              <w:rPr>
                <w:rFonts w:hint="eastAsia" w:ascii="仿宋" w:hAnsi="仿宋" w:eastAsia="仿宋" w:cs="仿宋"/>
                <w:color w:val="000000"/>
                <w:sz w:val="24"/>
              </w:rPr>
              <w:t>5</w:t>
            </w:r>
          </w:p>
        </w:tc>
        <w:tc>
          <w:tcPr>
            <w:tcW w:w="3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65D66">
            <w:pPr>
              <w:ind w:firstLine="480" w:firstLineChars="200"/>
              <w:rPr>
                <w:rFonts w:ascii="仿宋" w:hAnsi="仿宋" w:eastAsia="仿宋" w:cs="仿宋"/>
                <w:color w:val="000000"/>
                <w:sz w:val="24"/>
              </w:rPr>
            </w:pPr>
            <w:r>
              <w:rPr>
                <w:rFonts w:hint="eastAsia" w:ascii="仿宋" w:hAnsi="仿宋" w:eastAsia="仿宋" w:cs="仿宋"/>
                <w:color w:val="000000"/>
                <w:sz w:val="24"/>
              </w:rPr>
              <w:t>主题为《如何抢占全媒体时代的舆论制高点》</w:t>
            </w:r>
          </w:p>
        </w:tc>
        <w:tc>
          <w:tcPr>
            <w:tcW w:w="67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D611FD">
            <w:pPr>
              <w:ind w:firstLine="480" w:firstLineChars="200"/>
              <w:rPr>
                <w:rFonts w:ascii="仿宋" w:hAnsi="仿宋" w:eastAsia="仿宋" w:cs="仿宋"/>
                <w:color w:val="000000"/>
                <w:sz w:val="24"/>
              </w:rPr>
            </w:pPr>
            <w:r>
              <w:rPr>
                <w:rFonts w:hint="eastAsia" w:ascii="仿宋" w:hAnsi="仿宋" w:eastAsia="仿宋" w:cs="仿宋"/>
                <w:color w:val="000000"/>
                <w:sz w:val="24"/>
              </w:rPr>
              <w:t>新闻学类专业硕士学历以上，在报社工作且职务为主任记者以上，并获得过省级新闻类奖项一等奖10篇以上。</w:t>
            </w:r>
          </w:p>
        </w:tc>
      </w:tr>
      <w:tr w14:paraId="23A5E8AC">
        <w:tblPrEx>
          <w:tblCellMar>
            <w:top w:w="0" w:type="dxa"/>
            <w:left w:w="0" w:type="dxa"/>
            <w:bottom w:w="0" w:type="dxa"/>
            <w:right w:w="0" w:type="dxa"/>
          </w:tblCellMar>
        </w:tblPrEx>
        <w:trPr>
          <w:trHeight w:val="855" w:hRule="atLeast"/>
        </w:trPr>
        <w:tc>
          <w:tcPr>
            <w:tcW w:w="6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67111">
            <w:pPr>
              <w:jc w:val="center"/>
              <w:rPr>
                <w:rFonts w:ascii="仿宋" w:hAnsi="仿宋" w:eastAsia="仿宋" w:cs="仿宋"/>
                <w:color w:val="000000"/>
                <w:sz w:val="24"/>
              </w:rPr>
            </w:pPr>
            <w:r>
              <w:rPr>
                <w:rFonts w:hint="eastAsia" w:ascii="仿宋" w:hAnsi="仿宋" w:eastAsia="仿宋" w:cs="仿宋"/>
                <w:color w:val="000000"/>
                <w:sz w:val="24"/>
              </w:rPr>
              <w:t>6</w:t>
            </w:r>
          </w:p>
        </w:tc>
        <w:tc>
          <w:tcPr>
            <w:tcW w:w="3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B1052">
            <w:pPr>
              <w:ind w:firstLine="480" w:firstLineChars="200"/>
              <w:rPr>
                <w:rFonts w:ascii="仿宋" w:hAnsi="仿宋" w:eastAsia="仿宋" w:cs="仿宋"/>
                <w:color w:val="000000"/>
                <w:sz w:val="24"/>
              </w:rPr>
            </w:pPr>
            <w:r>
              <w:rPr>
                <w:rFonts w:hint="eastAsia" w:ascii="仿宋" w:hAnsi="仿宋" w:eastAsia="仿宋" w:cs="仿宋"/>
                <w:color w:val="000000"/>
                <w:sz w:val="24"/>
              </w:rPr>
              <w:t>主题为《移动互联网时代患者就医体验改善》，主要讲授如何改善服务文化，让患者更具有就医的获得感。</w:t>
            </w:r>
          </w:p>
        </w:tc>
        <w:tc>
          <w:tcPr>
            <w:tcW w:w="67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554531">
            <w:pPr>
              <w:jc w:val="center"/>
              <w:rPr>
                <w:rFonts w:ascii="仿宋" w:hAnsi="仿宋" w:eastAsia="仿宋" w:cs="仿宋"/>
                <w:color w:val="000000"/>
                <w:sz w:val="24"/>
              </w:rPr>
            </w:pPr>
            <w:r>
              <w:rPr>
                <w:rFonts w:hint="eastAsia" w:ascii="仿宋" w:hAnsi="仿宋" w:eastAsia="仿宋" w:cs="仿宋"/>
                <w:color w:val="000000"/>
                <w:sz w:val="24"/>
              </w:rPr>
              <w:t>新媒体总编辑职务以上，具备给医院做管理咨询的经验。</w:t>
            </w:r>
          </w:p>
        </w:tc>
      </w:tr>
      <w:tr w14:paraId="5946E28A">
        <w:tblPrEx>
          <w:tblCellMar>
            <w:top w:w="0" w:type="dxa"/>
            <w:left w:w="0" w:type="dxa"/>
            <w:bottom w:w="0" w:type="dxa"/>
            <w:right w:w="0" w:type="dxa"/>
          </w:tblCellMar>
        </w:tblPrEx>
        <w:trPr>
          <w:trHeight w:val="855" w:hRule="atLeast"/>
        </w:trPr>
        <w:tc>
          <w:tcPr>
            <w:tcW w:w="6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B4A41">
            <w:pPr>
              <w:jc w:val="center"/>
              <w:rPr>
                <w:rFonts w:ascii="仿宋" w:hAnsi="仿宋" w:eastAsia="仿宋" w:cs="仿宋"/>
                <w:color w:val="000000"/>
                <w:sz w:val="24"/>
              </w:rPr>
            </w:pPr>
            <w:r>
              <w:rPr>
                <w:rFonts w:hint="eastAsia" w:ascii="仿宋" w:hAnsi="仿宋" w:eastAsia="仿宋" w:cs="仿宋"/>
                <w:color w:val="000000"/>
                <w:sz w:val="24"/>
              </w:rPr>
              <w:t>7</w:t>
            </w:r>
          </w:p>
        </w:tc>
        <w:tc>
          <w:tcPr>
            <w:tcW w:w="3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F9786D">
            <w:pPr>
              <w:ind w:firstLine="480" w:firstLineChars="200"/>
              <w:rPr>
                <w:rFonts w:ascii="仿宋" w:hAnsi="仿宋" w:eastAsia="仿宋" w:cs="仿宋"/>
                <w:color w:val="000000"/>
                <w:sz w:val="24"/>
              </w:rPr>
            </w:pPr>
            <w:r>
              <w:rPr>
                <w:rFonts w:hint="eastAsia" w:ascii="仿宋" w:hAnsi="仿宋" w:eastAsia="仿宋" w:cs="仿宋"/>
                <w:color w:val="000000"/>
                <w:sz w:val="24"/>
              </w:rPr>
              <w:t>主题为《医院新媒体平台建设与运营》，讲授医院如何做好文化建设新平台，利用好新媒体平台，做好医院宣传工作。</w:t>
            </w:r>
          </w:p>
        </w:tc>
        <w:tc>
          <w:tcPr>
            <w:tcW w:w="67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24E7A">
            <w:pPr>
              <w:jc w:val="center"/>
              <w:rPr>
                <w:rFonts w:ascii="仿宋" w:hAnsi="仿宋" w:eastAsia="仿宋" w:cs="仿宋"/>
                <w:color w:val="000000"/>
                <w:sz w:val="24"/>
              </w:rPr>
            </w:pPr>
            <w:r>
              <w:rPr>
                <w:rFonts w:hint="eastAsia" w:ascii="仿宋" w:hAnsi="仿宋" w:eastAsia="仿宋" w:cs="仿宋"/>
                <w:color w:val="000000"/>
                <w:sz w:val="24"/>
              </w:rPr>
              <w:t>具备互联网+推广及媒体广告运营经验，新媒体的运营模式。</w:t>
            </w:r>
          </w:p>
        </w:tc>
      </w:tr>
      <w:tr w14:paraId="62B3EEEB">
        <w:tblPrEx>
          <w:tblCellMar>
            <w:top w:w="0" w:type="dxa"/>
            <w:left w:w="0" w:type="dxa"/>
            <w:bottom w:w="0" w:type="dxa"/>
            <w:right w:w="0" w:type="dxa"/>
          </w:tblCellMar>
        </w:tblPrEx>
        <w:trPr>
          <w:trHeight w:val="855" w:hRule="atLeast"/>
        </w:trPr>
        <w:tc>
          <w:tcPr>
            <w:tcW w:w="1050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C78CD">
            <w:pPr>
              <w:jc w:val="center"/>
              <w:rPr>
                <w:rFonts w:ascii="仿宋" w:hAnsi="仿宋" w:eastAsia="仿宋" w:cs="仿宋"/>
                <w:color w:val="000000"/>
                <w:sz w:val="24"/>
              </w:rPr>
            </w:pPr>
            <w:r>
              <w:rPr>
                <w:rFonts w:hint="eastAsia" w:ascii="仿宋" w:hAnsi="仿宋" w:eastAsia="仿宋" w:cs="仿宋"/>
                <w:color w:val="000000"/>
                <w:sz w:val="24"/>
                <w:u w:val="single"/>
              </w:rPr>
              <w:t>合计：人民币大写                     （￥：    元）</w:t>
            </w:r>
          </w:p>
        </w:tc>
      </w:tr>
    </w:tbl>
    <w:p w14:paraId="5F3344F5">
      <w:pPr>
        <w:pStyle w:val="3"/>
        <w:spacing w:line="400" w:lineRule="exact"/>
        <w:ind w:firstLine="470" w:firstLineChars="196"/>
        <w:rPr>
          <w:rFonts w:hAnsi="宋体"/>
          <w:spacing w:val="0"/>
          <w:sz w:val="24"/>
          <w:szCs w:val="24"/>
        </w:rPr>
      </w:pPr>
    </w:p>
    <w:p w14:paraId="48DD3CF2">
      <w:pPr>
        <w:snapToGrid w:val="0"/>
        <w:spacing w:line="360" w:lineRule="auto"/>
        <w:ind w:firstLine="482" w:firstLineChars="200"/>
        <w:jc w:val="left"/>
        <w:rPr>
          <w:rFonts w:ascii="宋体" w:hAnsi="宋体"/>
          <w:b/>
          <w:bCs/>
          <w:sz w:val="24"/>
        </w:rPr>
      </w:pPr>
    </w:p>
    <w:p w14:paraId="01B67978">
      <w:pPr>
        <w:snapToGrid w:val="0"/>
        <w:spacing w:line="360" w:lineRule="auto"/>
        <w:ind w:firstLine="482" w:firstLineChars="200"/>
        <w:jc w:val="left"/>
        <w:rPr>
          <w:rFonts w:ascii="宋体" w:hAnsi="宋体"/>
          <w:sz w:val="24"/>
        </w:rPr>
      </w:pPr>
      <w:r>
        <w:rPr>
          <w:rFonts w:hint="eastAsia" w:ascii="宋体" w:hAnsi="宋体"/>
          <w:b/>
          <w:bCs/>
          <w:sz w:val="24"/>
        </w:rPr>
        <w:t>二、付款方式</w:t>
      </w:r>
    </w:p>
    <w:p w14:paraId="1F8F6CBC">
      <w:pPr>
        <w:snapToGrid w:val="0"/>
        <w:spacing w:line="360" w:lineRule="auto"/>
        <w:ind w:firstLine="480" w:firstLineChars="200"/>
        <w:jc w:val="left"/>
        <w:rPr>
          <w:rFonts w:ascii="宋体" w:hAnsi="宋体"/>
          <w:sz w:val="24"/>
        </w:rPr>
      </w:pPr>
      <w:r>
        <w:rPr>
          <w:rFonts w:hint="eastAsia" w:ascii="宋体" w:hAnsi="宋体"/>
          <w:sz w:val="24"/>
        </w:rPr>
        <w:t>区级继续教育项目顺利举办结束后，乙方开具正规发票给甲方，甲方在收到发票起30日内向乙方支付合同金额的全款。</w:t>
      </w:r>
    </w:p>
    <w:p w14:paraId="5E559B26">
      <w:pPr>
        <w:snapToGrid w:val="0"/>
        <w:spacing w:line="360" w:lineRule="auto"/>
        <w:ind w:firstLine="482" w:firstLineChars="200"/>
        <w:jc w:val="left"/>
        <w:rPr>
          <w:rFonts w:ascii="宋体" w:hAnsi="宋体"/>
          <w:b/>
          <w:bCs/>
          <w:sz w:val="24"/>
        </w:rPr>
      </w:pPr>
      <w:r>
        <w:rPr>
          <w:rFonts w:hint="eastAsia" w:ascii="宋体" w:hAnsi="宋体"/>
          <w:b/>
          <w:bCs/>
          <w:sz w:val="24"/>
        </w:rPr>
        <w:t>三、权利和义务</w:t>
      </w:r>
    </w:p>
    <w:p w14:paraId="0D9A08BB">
      <w:pPr>
        <w:snapToGrid w:val="0"/>
        <w:spacing w:line="360" w:lineRule="auto"/>
        <w:ind w:firstLine="480" w:firstLineChars="200"/>
        <w:jc w:val="left"/>
        <w:rPr>
          <w:rFonts w:ascii="宋体" w:hAnsi="宋体"/>
          <w:sz w:val="24"/>
        </w:rPr>
      </w:pPr>
      <w:r>
        <w:rPr>
          <w:rFonts w:hint="eastAsia" w:ascii="宋体" w:hAnsi="宋体"/>
          <w:sz w:val="24"/>
        </w:rPr>
        <w:t>1、乙方必须严格按照甲方签字认可的要求进行策划及制作，且会议各项技术指标均需达到相应要求，如出现质量问题，由乙方承担全部责任，并采取相应补救措施。</w:t>
      </w:r>
    </w:p>
    <w:p w14:paraId="1A6CA86D">
      <w:pPr>
        <w:snapToGrid w:val="0"/>
        <w:spacing w:line="360" w:lineRule="auto"/>
        <w:ind w:firstLine="480" w:firstLineChars="200"/>
        <w:jc w:val="left"/>
        <w:rPr>
          <w:rFonts w:ascii="宋体" w:hAnsi="宋体"/>
          <w:sz w:val="24"/>
        </w:rPr>
      </w:pPr>
      <w:r>
        <w:rPr>
          <w:rFonts w:hint="eastAsia" w:ascii="宋体" w:hAnsi="宋体"/>
          <w:sz w:val="24"/>
        </w:rPr>
        <w:t>2、经甲方确定会议举办，乙方应严格按照原创意制作，如须更改，须经甲方同意，否则，一切后果由乙方承担。</w:t>
      </w:r>
    </w:p>
    <w:p w14:paraId="1F1F9279">
      <w:pPr>
        <w:snapToGrid w:val="0"/>
        <w:spacing w:line="360" w:lineRule="auto"/>
        <w:ind w:firstLine="480" w:firstLineChars="200"/>
        <w:jc w:val="left"/>
        <w:rPr>
          <w:rFonts w:ascii="宋体" w:hAnsi="宋体"/>
          <w:sz w:val="24"/>
        </w:rPr>
      </w:pPr>
      <w:r>
        <w:rPr>
          <w:rFonts w:hint="eastAsia" w:ascii="宋体" w:hAnsi="宋体"/>
          <w:sz w:val="24"/>
        </w:rPr>
        <w:t>3、乙方必须严守商业道德，做好保密工作，不泄露甲方的商业秘密，不得将本合同约定的工作成果向第三方复制或转让。如乙方提交给甲方的工作成果侵犯第三人著作权或者其他权利的，由乙方自行承担侵权责任并承担因此给甲方造成的损失。</w:t>
      </w:r>
    </w:p>
    <w:p w14:paraId="6E1564BC">
      <w:pPr>
        <w:snapToGrid w:val="0"/>
        <w:spacing w:line="360" w:lineRule="auto"/>
        <w:ind w:firstLine="482" w:firstLineChars="200"/>
        <w:jc w:val="left"/>
        <w:rPr>
          <w:rFonts w:ascii="宋体" w:hAnsi="宋体"/>
          <w:b/>
          <w:bCs/>
          <w:sz w:val="24"/>
        </w:rPr>
      </w:pPr>
      <w:r>
        <w:rPr>
          <w:rFonts w:hint="eastAsia" w:ascii="宋体" w:hAnsi="宋体"/>
          <w:b/>
          <w:bCs/>
          <w:sz w:val="24"/>
        </w:rPr>
        <w:t>四、知识产权</w:t>
      </w:r>
    </w:p>
    <w:p w14:paraId="6AFEE910">
      <w:pPr>
        <w:snapToGrid w:val="0"/>
        <w:spacing w:line="360" w:lineRule="auto"/>
        <w:ind w:firstLine="480" w:firstLineChars="200"/>
        <w:jc w:val="left"/>
        <w:rPr>
          <w:rFonts w:ascii="宋体" w:hAnsi="宋体"/>
          <w:sz w:val="24"/>
        </w:rPr>
      </w:pPr>
      <w:r>
        <w:rPr>
          <w:rFonts w:hint="eastAsia" w:ascii="宋体" w:hAnsi="宋体"/>
          <w:sz w:val="24"/>
        </w:rPr>
        <w:t>本合同项下所有工作成果的知识产权、版权、著作权、所有权、收益权，均归属甲方所有。乙方不得擅自将本合同项下的工作成果向第三方复制或转让，也不得用于其他商业用途。</w:t>
      </w:r>
    </w:p>
    <w:p w14:paraId="3CD6EEB0">
      <w:pPr>
        <w:snapToGrid w:val="0"/>
        <w:spacing w:line="360" w:lineRule="auto"/>
        <w:ind w:firstLine="482" w:firstLineChars="200"/>
        <w:jc w:val="left"/>
        <w:rPr>
          <w:rFonts w:ascii="宋体" w:hAnsi="宋体"/>
          <w:sz w:val="24"/>
        </w:rPr>
      </w:pPr>
      <w:r>
        <w:rPr>
          <w:rFonts w:hint="eastAsia" w:ascii="宋体" w:hAnsi="宋体"/>
          <w:b/>
          <w:bCs/>
          <w:sz w:val="24"/>
        </w:rPr>
        <w:t>五、违约责任</w:t>
      </w:r>
    </w:p>
    <w:p w14:paraId="66260EF9">
      <w:pPr>
        <w:snapToGrid w:val="0"/>
        <w:spacing w:line="360" w:lineRule="auto"/>
        <w:ind w:firstLine="480" w:firstLineChars="200"/>
        <w:jc w:val="left"/>
        <w:rPr>
          <w:rFonts w:ascii="宋体" w:hAnsi="宋体"/>
          <w:sz w:val="24"/>
        </w:rPr>
      </w:pPr>
      <w:r>
        <w:rPr>
          <w:rFonts w:hint="eastAsia" w:ascii="宋体" w:hAnsi="宋体"/>
          <w:sz w:val="24"/>
        </w:rPr>
        <w:t>在合同执行过程中如因甲方自身原因（如故意拖延提供相应资料的时间等）甲方自行解决，乙方不负担任何责任。若因乙方自身原因（如乙方无故逾期交付工作成果，每逾期一天按合同总价的1%向甲方支付违约金）。</w:t>
      </w:r>
    </w:p>
    <w:p w14:paraId="752AEF7F">
      <w:pPr>
        <w:snapToGrid w:val="0"/>
        <w:spacing w:line="360" w:lineRule="auto"/>
        <w:ind w:firstLine="482" w:firstLineChars="200"/>
        <w:jc w:val="left"/>
        <w:rPr>
          <w:rFonts w:ascii="宋体" w:hAnsi="宋体"/>
          <w:b/>
          <w:bCs/>
          <w:sz w:val="24"/>
        </w:rPr>
      </w:pPr>
      <w:r>
        <w:rPr>
          <w:rFonts w:hint="eastAsia" w:ascii="宋体" w:hAnsi="宋体"/>
          <w:b/>
          <w:bCs/>
          <w:sz w:val="24"/>
        </w:rPr>
        <w:t>六、争议的解决</w:t>
      </w:r>
    </w:p>
    <w:p w14:paraId="0724A05E">
      <w:pPr>
        <w:snapToGrid w:val="0"/>
        <w:spacing w:line="360" w:lineRule="auto"/>
        <w:ind w:firstLine="480" w:firstLineChars="200"/>
        <w:jc w:val="left"/>
        <w:rPr>
          <w:rFonts w:ascii="仿宋_GB2312" w:hAnsi="宋体" w:eastAsia="仿宋_GB2312"/>
          <w:sz w:val="28"/>
          <w:szCs w:val="28"/>
        </w:rPr>
      </w:pPr>
      <w:r>
        <w:rPr>
          <w:rFonts w:hint="eastAsia" w:ascii="宋体" w:hAnsi="宋体"/>
          <w:sz w:val="24"/>
        </w:rPr>
        <w:t>双方在执行合同中所发生的一切争议，应通过协商解决。如果协商不能解决，可向南宁市第一人民医院所在地仲裁委员会申请仲裁或向南宁市第一人民医院所在地人民法院提起诉讼</w:t>
      </w:r>
      <w:r>
        <w:rPr>
          <w:rFonts w:hint="eastAsia" w:ascii="仿宋_GB2312" w:hAnsi="宋体" w:eastAsia="仿宋_GB2312"/>
          <w:sz w:val="28"/>
          <w:szCs w:val="28"/>
        </w:rPr>
        <w:t>。</w:t>
      </w:r>
    </w:p>
    <w:p w14:paraId="7F10196F">
      <w:pPr>
        <w:snapToGrid w:val="0"/>
        <w:spacing w:line="360" w:lineRule="auto"/>
        <w:ind w:firstLine="482" w:firstLineChars="200"/>
        <w:jc w:val="left"/>
        <w:rPr>
          <w:rFonts w:ascii="宋体" w:hAnsi="宋体"/>
          <w:sz w:val="24"/>
        </w:rPr>
      </w:pPr>
      <w:r>
        <w:rPr>
          <w:rFonts w:hint="eastAsia" w:ascii="宋体" w:hAnsi="宋体"/>
          <w:b/>
          <w:bCs/>
          <w:sz w:val="24"/>
        </w:rPr>
        <w:t>七、合同的签订与变更</w:t>
      </w:r>
    </w:p>
    <w:p w14:paraId="75828443">
      <w:pPr>
        <w:snapToGrid w:val="0"/>
        <w:spacing w:line="360" w:lineRule="auto"/>
        <w:ind w:firstLine="480" w:firstLineChars="200"/>
        <w:jc w:val="left"/>
        <w:rPr>
          <w:rFonts w:ascii="宋体" w:hAnsi="宋体"/>
          <w:sz w:val="24"/>
        </w:rPr>
      </w:pPr>
      <w:r>
        <w:rPr>
          <w:rFonts w:hint="eastAsia" w:ascii="宋体" w:hAnsi="宋体"/>
          <w:sz w:val="24"/>
        </w:rPr>
        <w:t>1、本合同一式三份，甲方执贰份乙方执壹份，本合同甲乙双方签字盖章后生效。</w:t>
      </w:r>
    </w:p>
    <w:p w14:paraId="774A1018">
      <w:pPr>
        <w:snapToGrid w:val="0"/>
        <w:spacing w:line="360" w:lineRule="auto"/>
        <w:ind w:firstLine="480" w:firstLineChars="200"/>
        <w:jc w:val="left"/>
        <w:rPr>
          <w:rFonts w:ascii="宋体" w:hAnsi="宋体"/>
          <w:sz w:val="24"/>
        </w:rPr>
      </w:pPr>
      <w:r>
        <w:rPr>
          <w:rFonts w:hint="eastAsia" w:ascii="宋体" w:hAnsi="宋体"/>
          <w:sz w:val="24"/>
        </w:rPr>
        <w:t>2、 本合同生效前，双方的往来文件与本合同不一致的，以本合同为准。</w:t>
      </w:r>
    </w:p>
    <w:p w14:paraId="546F87E6">
      <w:pPr>
        <w:snapToGrid w:val="0"/>
        <w:spacing w:line="360" w:lineRule="auto"/>
        <w:ind w:firstLine="480" w:firstLineChars="200"/>
        <w:jc w:val="left"/>
        <w:rPr>
          <w:rFonts w:ascii="宋体" w:hAnsi="宋体"/>
          <w:sz w:val="24"/>
        </w:rPr>
      </w:pPr>
      <w:r>
        <w:rPr>
          <w:rFonts w:hint="eastAsia" w:ascii="宋体" w:hAnsi="宋体"/>
          <w:sz w:val="24"/>
        </w:rPr>
        <w:t>3、 上述合同条款已经甲、乙双方确认，如有变动，需经双方协商签订补充协议。</w:t>
      </w:r>
    </w:p>
    <w:tbl>
      <w:tblPr>
        <w:tblStyle w:val="9"/>
        <w:tblpPr w:leftFromText="180" w:rightFromText="180" w:vertAnchor="text" w:horzAnchor="page" w:tblpX="1522" w:tblpY="524"/>
        <w:tblOverlap w:val="never"/>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23F2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noWrap/>
            <w:vAlign w:val="center"/>
          </w:tcPr>
          <w:p w14:paraId="77A91DEC">
            <w:pPr>
              <w:snapToGrid w:val="0"/>
              <w:spacing w:line="360" w:lineRule="auto"/>
              <w:jc w:val="left"/>
              <w:rPr>
                <w:rFonts w:ascii="宋体" w:hAnsi="宋体"/>
                <w:sz w:val="24"/>
              </w:rPr>
            </w:pPr>
            <w:r>
              <w:rPr>
                <w:rFonts w:hint="eastAsia" w:ascii="宋体" w:hAnsi="宋体"/>
                <w:sz w:val="24"/>
              </w:rPr>
              <w:t>甲方（章）：南宁市第一人民医院</w:t>
            </w:r>
          </w:p>
          <w:p w14:paraId="3F2BEBAB">
            <w:pPr>
              <w:snapToGrid w:val="0"/>
              <w:spacing w:line="360" w:lineRule="auto"/>
              <w:jc w:val="left"/>
              <w:rPr>
                <w:rFonts w:ascii="宋体" w:hAnsi="宋体"/>
                <w:sz w:val="24"/>
              </w:rPr>
            </w:pPr>
          </w:p>
        </w:tc>
        <w:tc>
          <w:tcPr>
            <w:tcW w:w="4517" w:type="dxa"/>
            <w:noWrap/>
            <w:vAlign w:val="center"/>
          </w:tcPr>
          <w:p w14:paraId="17CE081D">
            <w:pPr>
              <w:snapToGrid w:val="0"/>
              <w:spacing w:line="360" w:lineRule="auto"/>
              <w:jc w:val="left"/>
              <w:rPr>
                <w:rFonts w:ascii="宋体" w:hAnsi="宋体"/>
                <w:sz w:val="24"/>
              </w:rPr>
            </w:pPr>
            <w:r>
              <w:rPr>
                <w:rFonts w:hint="eastAsia" w:ascii="宋体" w:hAnsi="宋体"/>
                <w:sz w:val="24"/>
              </w:rPr>
              <w:t xml:space="preserve">乙方（章）：           </w:t>
            </w:r>
          </w:p>
          <w:p w14:paraId="3DB3B5E7">
            <w:pPr>
              <w:snapToGrid w:val="0"/>
              <w:spacing w:line="360" w:lineRule="auto"/>
              <w:jc w:val="left"/>
              <w:rPr>
                <w:rFonts w:ascii="宋体" w:hAnsi="宋体"/>
                <w:sz w:val="24"/>
              </w:rPr>
            </w:pPr>
          </w:p>
        </w:tc>
      </w:tr>
      <w:tr w14:paraId="2AB0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4516" w:type="dxa"/>
            <w:noWrap/>
            <w:vAlign w:val="center"/>
          </w:tcPr>
          <w:p w14:paraId="70C0B62C">
            <w:pPr>
              <w:snapToGrid w:val="0"/>
              <w:spacing w:line="360" w:lineRule="auto"/>
              <w:jc w:val="left"/>
              <w:rPr>
                <w:rFonts w:ascii="宋体" w:hAnsi="宋体"/>
                <w:sz w:val="24"/>
              </w:rPr>
            </w:pPr>
            <w:r>
              <w:rPr>
                <w:rFonts w:hint="eastAsia" w:ascii="宋体" w:hAnsi="宋体"/>
                <w:sz w:val="24"/>
              </w:rPr>
              <w:t>单位地址：南宁市七星路89号</w:t>
            </w:r>
          </w:p>
        </w:tc>
        <w:tc>
          <w:tcPr>
            <w:tcW w:w="4517" w:type="dxa"/>
            <w:noWrap/>
            <w:vAlign w:val="center"/>
          </w:tcPr>
          <w:p w14:paraId="3AA8DFB2">
            <w:pPr>
              <w:snapToGrid w:val="0"/>
              <w:spacing w:line="360" w:lineRule="auto"/>
              <w:jc w:val="left"/>
              <w:rPr>
                <w:rFonts w:ascii="宋体" w:hAnsi="宋体"/>
                <w:sz w:val="24"/>
              </w:rPr>
            </w:pPr>
            <w:r>
              <w:rPr>
                <w:rFonts w:hint="eastAsia" w:ascii="宋体" w:hAnsi="宋体"/>
                <w:sz w:val="24"/>
              </w:rPr>
              <w:t>单位地址：</w:t>
            </w:r>
          </w:p>
        </w:tc>
      </w:tr>
      <w:tr w14:paraId="0D6D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noWrap/>
            <w:vAlign w:val="center"/>
          </w:tcPr>
          <w:p w14:paraId="57ABD997">
            <w:pPr>
              <w:snapToGrid w:val="0"/>
              <w:spacing w:line="360" w:lineRule="auto"/>
              <w:jc w:val="left"/>
              <w:rPr>
                <w:rFonts w:ascii="宋体" w:hAnsi="宋体"/>
                <w:sz w:val="24"/>
              </w:rPr>
            </w:pPr>
            <w:r>
              <w:rPr>
                <w:rFonts w:hint="eastAsia" w:ascii="宋体" w:hAnsi="宋体"/>
                <w:sz w:val="24"/>
              </w:rPr>
              <w:t>法定代表人：</w:t>
            </w:r>
          </w:p>
        </w:tc>
        <w:tc>
          <w:tcPr>
            <w:tcW w:w="4517" w:type="dxa"/>
            <w:noWrap/>
            <w:vAlign w:val="center"/>
          </w:tcPr>
          <w:p w14:paraId="4D500AD5">
            <w:pPr>
              <w:snapToGrid w:val="0"/>
              <w:spacing w:line="360" w:lineRule="auto"/>
              <w:jc w:val="left"/>
              <w:rPr>
                <w:rFonts w:ascii="宋体" w:hAnsi="宋体"/>
                <w:sz w:val="24"/>
              </w:rPr>
            </w:pPr>
            <w:r>
              <w:rPr>
                <w:rFonts w:hint="eastAsia" w:ascii="宋体" w:hAnsi="宋体"/>
                <w:sz w:val="24"/>
              </w:rPr>
              <w:t>法定代表人：</w:t>
            </w:r>
          </w:p>
        </w:tc>
      </w:tr>
      <w:tr w14:paraId="6C78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noWrap/>
            <w:vAlign w:val="center"/>
          </w:tcPr>
          <w:p w14:paraId="57F2C6B9">
            <w:pPr>
              <w:snapToGrid w:val="0"/>
              <w:spacing w:line="360" w:lineRule="auto"/>
              <w:jc w:val="left"/>
              <w:rPr>
                <w:rFonts w:ascii="宋体" w:hAnsi="宋体"/>
                <w:sz w:val="24"/>
              </w:rPr>
            </w:pPr>
            <w:r>
              <w:rPr>
                <w:rFonts w:hint="eastAsia" w:ascii="宋体" w:hAnsi="宋体"/>
                <w:sz w:val="24"/>
              </w:rPr>
              <w:t>委托代理人：</w:t>
            </w:r>
          </w:p>
        </w:tc>
        <w:tc>
          <w:tcPr>
            <w:tcW w:w="4517" w:type="dxa"/>
            <w:noWrap/>
            <w:vAlign w:val="center"/>
          </w:tcPr>
          <w:p w14:paraId="6D65A003">
            <w:pPr>
              <w:snapToGrid w:val="0"/>
              <w:spacing w:line="360" w:lineRule="auto"/>
              <w:jc w:val="left"/>
              <w:rPr>
                <w:rFonts w:ascii="宋体" w:hAnsi="宋体"/>
                <w:sz w:val="24"/>
              </w:rPr>
            </w:pPr>
            <w:r>
              <w:rPr>
                <w:rFonts w:hint="eastAsia" w:ascii="宋体" w:hAnsi="宋体"/>
                <w:sz w:val="24"/>
              </w:rPr>
              <w:t>委托代理人</w:t>
            </w:r>
          </w:p>
        </w:tc>
      </w:tr>
      <w:tr w14:paraId="0F1D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ign w:val="center"/>
          </w:tcPr>
          <w:p w14:paraId="65F32792">
            <w:pPr>
              <w:snapToGrid w:val="0"/>
              <w:spacing w:line="360" w:lineRule="auto"/>
              <w:jc w:val="left"/>
              <w:rPr>
                <w:rFonts w:ascii="宋体" w:hAnsi="宋体"/>
                <w:sz w:val="24"/>
              </w:rPr>
            </w:pPr>
            <w:r>
              <w:rPr>
                <w:rFonts w:hint="eastAsia" w:ascii="宋体" w:hAnsi="宋体"/>
                <w:sz w:val="24"/>
              </w:rPr>
              <w:t>电话：0771-2636278</w:t>
            </w:r>
          </w:p>
        </w:tc>
        <w:tc>
          <w:tcPr>
            <w:tcW w:w="4517" w:type="dxa"/>
            <w:noWrap/>
            <w:vAlign w:val="center"/>
          </w:tcPr>
          <w:p w14:paraId="5051499A">
            <w:pPr>
              <w:snapToGrid w:val="0"/>
              <w:spacing w:line="360" w:lineRule="auto"/>
              <w:jc w:val="left"/>
              <w:rPr>
                <w:rFonts w:ascii="宋体" w:hAnsi="宋体"/>
                <w:sz w:val="24"/>
              </w:rPr>
            </w:pPr>
            <w:r>
              <w:rPr>
                <w:rFonts w:hint="eastAsia" w:ascii="宋体" w:hAnsi="宋体"/>
                <w:sz w:val="24"/>
              </w:rPr>
              <w:t>电话：</w:t>
            </w:r>
          </w:p>
        </w:tc>
      </w:tr>
      <w:tr w14:paraId="3D49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ign w:val="center"/>
          </w:tcPr>
          <w:p w14:paraId="69AC372D">
            <w:pPr>
              <w:snapToGrid w:val="0"/>
              <w:spacing w:line="360" w:lineRule="auto"/>
              <w:jc w:val="left"/>
              <w:rPr>
                <w:rFonts w:ascii="宋体" w:hAnsi="宋体"/>
                <w:sz w:val="24"/>
              </w:rPr>
            </w:pPr>
            <w:r>
              <w:rPr>
                <w:rFonts w:hint="eastAsia" w:ascii="宋体" w:hAnsi="宋体"/>
                <w:sz w:val="24"/>
              </w:rPr>
              <w:t>开户银行：农行南宁天桃支行</w:t>
            </w:r>
          </w:p>
        </w:tc>
        <w:tc>
          <w:tcPr>
            <w:tcW w:w="4517" w:type="dxa"/>
            <w:noWrap/>
            <w:vAlign w:val="center"/>
          </w:tcPr>
          <w:p w14:paraId="099A785A">
            <w:pPr>
              <w:snapToGrid w:val="0"/>
              <w:spacing w:line="360" w:lineRule="auto"/>
              <w:jc w:val="left"/>
              <w:rPr>
                <w:rFonts w:ascii="宋体" w:hAnsi="宋体"/>
                <w:sz w:val="24"/>
              </w:rPr>
            </w:pPr>
            <w:r>
              <w:rPr>
                <w:rFonts w:hint="eastAsia" w:ascii="宋体" w:hAnsi="宋体"/>
                <w:sz w:val="24"/>
              </w:rPr>
              <w:t>开户银行：</w:t>
            </w:r>
          </w:p>
        </w:tc>
      </w:tr>
      <w:tr w14:paraId="0ED9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4516" w:type="dxa"/>
            <w:noWrap/>
            <w:vAlign w:val="center"/>
          </w:tcPr>
          <w:p w14:paraId="207D0545">
            <w:pPr>
              <w:snapToGrid w:val="0"/>
              <w:spacing w:line="360" w:lineRule="auto"/>
              <w:jc w:val="left"/>
              <w:rPr>
                <w:rFonts w:ascii="宋体" w:hAnsi="宋体"/>
                <w:sz w:val="24"/>
              </w:rPr>
            </w:pPr>
            <w:r>
              <w:rPr>
                <w:rFonts w:hint="eastAsia" w:ascii="宋体" w:hAnsi="宋体"/>
                <w:sz w:val="24"/>
              </w:rPr>
              <w:t>账号：20022101040009789</w:t>
            </w:r>
          </w:p>
        </w:tc>
        <w:tc>
          <w:tcPr>
            <w:tcW w:w="4517" w:type="dxa"/>
            <w:noWrap/>
            <w:vAlign w:val="center"/>
          </w:tcPr>
          <w:p w14:paraId="665D64CB">
            <w:pPr>
              <w:snapToGrid w:val="0"/>
              <w:spacing w:line="360" w:lineRule="auto"/>
              <w:jc w:val="left"/>
              <w:rPr>
                <w:rFonts w:ascii="宋体" w:hAnsi="宋体"/>
                <w:sz w:val="24"/>
              </w:rPr>
            </w:pPr>
            <w:r>
              <w:rPr>
                <w:rFonts w:hint="eastAsia" w:ascii="宋体" w:hAnsi="宋体"/>
                <w:sz w:val="24"/>
              </w:rPr>
              <w:t>账号：</w:t>
            </w:r>
          </w:p>
        </w:tc>
      </w:tr>
      <w:tr w14:paraId="3637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4516" w:type="dxa"/>
            <w:noWrap/>
            <w:vAlign w:val="center"/>
          </w:tcPr>
          <w:p w14:paraId="704A9970">
            <w:pPr>
              <w:snapToGrid w:val="0"/>
              <w:spacing w:line="360" w:lineRule="auto"/>
              <w:jc w:val="left"/>
              <w:rPr>
                <w:rFonts w:ascii="宋体" w:hAnsi="宋体"/>
                <w:sz w:val="24"/>
              </w:rPr>
            </w:pPr>
            <w:r>
              <w:rPr>
                <w:rFonts w:hint="eastAsia" w:ascii="宋体" w:hAnsi="宋体"/>
                <w:sz w:val="24"/>
              </w:rPr>
              <w:t>社会信用代码：12450100498521320M</w:t>
            </w:r>
          </w:p>
        </w:tc>
        <w:tc>
          <w:tcPr>
            <w:tcW w:w="4517" w:type="dxa"/>
            <w:noWrap/>
            <w:vAlign w:val="center"/>
          </w:tcPr>
          <w:p w14:paraId="0CD6683D">
            <w:pPr>
              <w:snapToGrid w:val="0"/>
              <w:spacing w:line="360" w:lineRule="auto"/>
              <w:jc w:val="left"/>
              <w:rPr>
                <w:rFonts w:ascii="宋体" w:hAnsi="宋体"/>
                <w:sz w:val="24"/>
              </w:rPr>
            </w:pPr>
          </w:p>
        </w:tc>
      </w:tr>
      <w:tr w14:paraId="5CC8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033" w:type="dxa"/>
            <w:gridSpan w:val="2"/>
            <w:noWrap/>
            <w:vAlign w:val="center"/>
          </w:tcPr>
          <w:p w14:paraId="28CD1625">
            <w:pPr>
              <w:snapToGrid w:val="0"/>
              <w:spacing w:line="360" w:lineRule="auto"/>
              <w:jc w:val="left"/>
              <w:rPr>
                <w:rFonts w:ascii="宋体" w:hAnsi="宋体"/>
                <w:sz w:val="24"/>
              </w:rPr>
            </w:pPr>
            <w:r>
              <w:rPr>
                <w:rFonts w:hint="eastAsia" w:ascii="宋体" w:hAnsi="宋体"/>
                <w:sz w:val="24"/>
              </w:rPr>
              <w:t>签订地点：                                                年    月    日</w:t>
            </w:r>
          </w:p>
        </w:tc>
      </w:tr>
    </w:tbl>
    <w:p w14:paraId="05A37AE7">
      <w:pPr>
        <w:snapToGrid w:val="0"/>
        <w:spacing w:line="360" w:lineRule="auto"/>
        <w:jc w:val="left"/>
        <w:rPr>
          <w:rFonts w:ascii="宋体" w:hAnsi="宋体"/>
          <w:sz w:val="24"/>
        </w:rPr>
      </w:pPr>
    </w:p>
    <w:p w14:paraId="610EB502"/>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7C503">
    <w:pPr>
      <w:pStyle w:val="5"/>
      <w:framePr w:wrap="around" w:vAnchor="text" w:hAnchor="margin" w:xAlign="center" w:y="1"/>
      <w:jc w:val="center"/>
      <w:rPr>
        <w:rStyle w:val="12"/>
      </w:rPr>
    </w:pPr>
    <w:r>
      <w:fldChar w:fldCharType="begin"/>
    </w:r>
    <w:r>
      <w:rPr>
        <w:rStyle w:val="12"/>
      </w:rPr>
      <w:instrText xml:space="preserve">PAGE  </w:instrText>
    </w:r>
    <w:r>
      <w:fldChar w:fldCharType="separate"/>
    </w:r>
    <w:r>
      <w:rPr>
        <w:rStyle w:val="12"/>
      </w:rPr>
      <w:t>20</w:t>
    </w:r>
    <w:r>
      <w:fldChar w:fldCharType="end"/>
    </w:r>
  </w:p>
  <w:p w14:paraId="50DC2C0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1A550">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074227B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C978A">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FCCD0">
    <w:pPr>
      <w:pStyle w:val="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D8E9A">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9485F">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69826"/>
    <w:multiLevelType w:val="singleLevel"/>
    <w:tmpl w:val="8B169826"/>
    <w:lvl w:ilvl="0" w:tentative="0">
      <w:start w:val="6"/>
      <w:numFmt w:val="chineseCounting"/>
      <w:suff w:val="nothing"/>
      <w:lvlText w:val="%1、"/>
      <w:lvlJc w:val="left"/>
      <w:rPr>
        <w:rFonts w:hint="eastAsia"/>
      </w:rPr>
    </w:lvl>
  </w:abstractNum>
  <w:abstractNum w:abstractNumId="1">
    <w:nsid w:val="A6070F63"/>
    <w:multiLevelType w:val="singleLevel"/>
    <w:tmpl w:val="A6070F63"/>
    <w:lvl w:ilvl="0" w:tentative="0">
      <w:start w:val="1"/>
      <w:numFmt w:val="decimal"/>
      <w:suff w:val="nothing"/>
      <w:lvlText w:val="（%1）"/>
      <w:lvlJc w:val="left"/>
    </w:lvl>
  </w:abstractNum>
  <w:abstractNum w:abstractNumId="2">
    <w:nsid w:val="55514640"/>
    <w:multiLevelType w:val="singleLevel"/>
    <w:tmpl w:val="55514640"/>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龙艺夫">
    <w15:presenceInfo w15:providerId="None" w15:userId="龙艺夫"/>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882"/>
    <w:rsid w:val="001C28B3"/>
    <w:rsid w:val="003059AB"/>
    <w:rsid w:val="003B1F2B"/>
    <w:rsid w:val="004826FB"/>
    <w:rsid w:val="00581882"/>
    <w:rsid w:val="0073542D"/>
    <w:rsid w:val="007D064E"/>
    <w:rsid w:val="00945D26"/>
    <w:rsid w:val="00957DD4"/>
    <w:rsid w:val="00CD5413"/>
    <w:rsid w:val="00D579A4"/>
    <w:rsid w:val="00D81C1A"/>
    <w:rsid w:val="00EC7B51"/>
    <w:rsid w:val="069D51F2"/>
    <w:rsid w:val="0AB07584"/>
    <w:rsid w:val="0B132659"/>
    <w:rsid w:val="0C483440"/>
    <w:rsid w:val="0C6D05DC"/>
    <w:rsid w:val="1E24764F"/>
    <w:rsid w:val="25B23436"/>
    <w:rsid w:val="25F90495"/>
    <w:rsid w:val="2A506450"/>
    <w:rsid w:val="2F88439E"/>
    <w:rsid w:val="31683B21"/>
    <w:rsid w:val="319C5512"/>
    <w:rsid w:val="32A870F1"/>
    <w:rsid w:val="36E462C7"/>
    <w:rsid w:val="3A5A72C3"/>
    <w:rsid w:val="3BD96AD5"/>
    <w:rsid w:val="3E885B6E"/>
    <w:rsid w:val="407C4BE2"/>
    <w:rsid w:val="41BB4B32"/>
    <w:rsid w:val="428927B4"/>
    <w:rsid w:val="446A32E2"/>
    <w:rsid w:val="490421C9"/>
    <w:rsid w:val="4B256FE9"/>
    <w:rsid w:val="4D6F0217"/>
    <w:rsid w:val="546A4858"/>
    <w:rsid w:val="548B2E1C"/>
    <w:rsid w:val="5F9C0FE7"/>
    <w:rsid w:val="61DD0AFA"/>
    <w:rsid w:val="62B62BD3"/>
    <w:rsid w:val="6D6020F0"/>
    <w:rsid w:val="6F841780"/>
    <w:rsid w:val="70124060"/>
    <w:rsid w:val="71984C27"/>
    <w:rsid w:val="777D40E3"/>
    <w:rsid w:val="78E66554"/>
    <w:rsid w:val="7B096181"/>
    <w:rsid w:val="7C6F2978"/>
    <w:rsid w:val="7DC8456E"/>
    <w:rsid w:val="7DDC7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Body Text Indent"/>
    <w:basedOn w:val="1"/>
    <w:qFormat/>
    <w:uiPriority w:val="0"/>
    <w:pPr>
      <w:spacing w:line="200" w:lineRule="exact"/>
      <w:ind w:firstLine="301"/>
    </w:pPr>
    <w:rPr>
      <w:rFonts w:ascii="宋体" w:hAnsi="Courier New"/>
      <w:spacing w:val="-4"/>
      <w:sz w:val="18"/>
      <w:szCs w:val="20"/>
    </w:r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rFonts w:ascii="宋体" w:hAnsi="Courier New"/>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7">
    <w:name w:val="toc 1"/>
    <w:basedOn w:val="1"/>
    <w:next w:val="1"/>
    <w:qFormat/>
    <w:uiPriority w:val="39"/>
    <w:rPr>
      <w:sz w:val="32"/>
    </w:rPr>
  </w:style>
  <w:style w:type="paragraph" w:styleId="8">
    <w:name w:val="Normal (Web)"/>
    <w:basedOn w:val="1"/>
    <w:qFormat/>
    <w:uiPriority w:val="0"/>
    <w:rPr>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qFormat/>
    <w:uiPriority w:val="99"/>
    <w:rPr>
      <w:color w:val="0000FF"/>
      <w:u w:val="single"/>
    </w:rPr>
  </w:style>
  <w:style w:type="character" w:customStyle="1" w:styleId="14">
    <w:name w:val="font21"/>
    <w:basedOn w:val="11"/>
    <w:qFormat/>
    <w:uiPriority w:val="0"/>
    <w:rPr>
      <w:rFonts w:hint="default" w:ascii="Verdana" w:hAnsi="Verdana" w:cs="Verdana"/>
      <w:color w:val="000000"/>
      <w:sz w:val="22"/>
      <w:szCs w:val="22"/>
      <w:u w:val="none"/>
    </w:rPr>
  </w:style>
  <w:style w:type="character" w:customStyle="1" w:styleId="15">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7862</Words>
  <Characters>8142</Characters>
  <Lines>74</Lines>
  <Paragraphs>21</Paragraphs>
  <TotalTime>15</TotalTime>
  <ScaleCrop>false</ScaleCrop>
  <LinksUpToDate>false</LinksUpToDate>
  <CharactersWithSpaces>8377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cute ghost</cp:lastModifiedBy>
  <dcterms:modified xsi:type="dcterms:W3CDTF">2026-01-13T07:52:20Z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DF853F3D1CF14253B990F3019024486F_13</vt:lpwstr>
  </property>
</Properties>
</file>